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napToGrid w:val="0"/>
          <w:kern w:val="2"/>
          <w:sz w:val="32"/>
          <w:szCs w:val="32"/>
          <w:lang w:val="en-US" w:eastAsia="zh-CN"/>
        </w:rPr>
        <w:t>附件1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kern w:val="44"/>
          <w:sz w:val="44"/>
          <w:szCs w:val="24"/>
          <w:lang w:bidi="ar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val="en-US" w:eastAsia="zh-CN" w:bidi="ar"/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eastAsia="zh-CN" w:bidi="ar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bidi="ar"/>
        </w:rPr>
        <w:t>小微企业质量管理体系认证提升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val="en-US" w:eastAsia="zh-CN" w:bidi="ar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bidi="ar"/>
        </w:rPr>
        <w:t>行动”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val="en-US" w:eastAsia="zh-CN" w:bidi="ar"/>
        </w:rPr>
        <w:t>总结评估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kern w:val="44"/>
          <w:sz w:val="44"/>
          <w:szCs w:val="24"/>
          <w:lang w:bidi="ar"/>
        </w:rPr>
        <w:t>报告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党的二十大报告指出，要“优化民营企业发展环境，促进民营经济发展壮大”“支持中小微企业发展”“加快建设制造强国、质量强国”。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2022年，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总局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认证监管司深入贯彻落实党中央、国务院关于支持民营经济和中小微企业发展，加快建设制造强国、质量强国等重大决策部署，按照总局年度重点工作安排，针对小微企业普遍存在的质量管理短板，持续深入开展“小微企业质量管理体系认证提升行动”（以下简称提升行动），运用质量认证手段帮助小微企业提升质量管理能力和市场竞争力。各地市场监管部门结合地方经济社会发展实际，遵循“政府推动、市场主导、企业自愿、机构服务、突出公益、注重实效”原则，组织引导小微企业、认证机构、行业组织及社会相关各方积极开展提升行动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截至2022年底，全国各地共出台5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45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项激励政策，302家认证机构积极响应，累计为21万家企业免费培训超过100万人次，为37个行业的2.1万余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家小微企业实施精准帮扶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，96.95%的企业反馈提升成效明显，99.23%的企业对提升行动表示满意。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江苏、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浙江等6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个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省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份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在全国率先启动9个区域试点工作，探索区（县）域产业提升的有效路径。和2021年相比，提升行动在参与规模、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提升成效和企业满意度等方面均取得明显进步（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图1）。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78105</wp:posOffset>
            </wp:positionV>
            <wp:extent cx="5761355" cy="2321560"/>
            <wp:effectExtent l="0" t="0" r="10795" b="2540"/>
            <wp:wrapNone/>
            <wp:docPr id="5" name="图片 5" descr="修改后-附件1：“小微企业质量管理体系认证提升行动”总结评估报告0313 1(1)-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修改后-附件1：“小微企业质量管理体系认证提升行动”总结评估报告0313 1(1)-2"/>
                    <pic:cNvPicPr>
                      <a:picLocks noChangeAspect="true"/>
                    </pic:cNvPicPr>
                  </pic:nvPicPr>
                  <pic:blipFill>
                    <a:blip r:embed="rId6"/>
                    <a:srcRect l="12158" t="16151" r="10403" b="61799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 xml:space="preserve">图1 </w:t>
      </w:r>
      <w:r>
        <w:rPr>
          <w:rFonts w:hint="eastAsia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>2021年和2022年提升行动成效对比图</w:t>
      </w:r>
    </w:p>
    <w:p>
      <w:pPr>
        <w:pStyle w:val="5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napToGrid/>
          <w:kern w:val="2"/>
          <w:sz w:val="32"/>
          <w:szCs w:val="24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snapToGrid/>
          <w:kern w:val="2"/>
          <w:sz w:val="32"/>
          <w:szCs w:val="24"/>
          <w:shd w:val="clear" w:color="auto" w:fill="auto"/>
          <w:lang w:val="en-US" w:eastAsia="zh-CN" w:bidi="ar"/>
        </w:rPr>
        <w:t>评估过程</w:t>
      </w:r>
    </w:p>
    <w:p>
      <w:pPr>
        <w:pStyle w:val="18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32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napToGrid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（一）完善评估机制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1. 组建专家组。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为确保评估的科学性、准确性和公正性，认证监管司会同总局发展研究中心组织来自认证机构、行业协会、高等院校及科研院所的32名专家，成立了第三方测评组、数据校核组、指标评估组、电话回访组和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指南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案例评审组等5个专家组。各专家组独立开展相关工作。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2. 完善指标体系。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组织专家对评估指标及赋分办法进行多次研究，在2021年度评估指标基础上进行优化完善，围绕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提升行动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工作举措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实际效果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两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个维度，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设置“组织发动和培训宣传措施”“培训企业数量”“帮扶企业数量”“帮扶企业提升成效”“帮扶企业满意度”和“企业优良案例编制”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等6项评估指标，制定《提升行动评估指标体系及赋分办法》，全方位、多视角验证各地提升行动开展情况及取得的成效。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kern w:val="2"/>
          <w:sz w:val="32"/>
          <w:szCs w:val="32"/>
          <w:highlight w:val="none"/>
          <w:lang w:val="en-US" w:eastAsia="zh-CN"/>
        </w:rPr>
        <w:t>（二）科学实施评估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1. 开展省局自评。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  <w:t>要求31个省局对提升行动开展情况开展自评。除西藏、海南之外，其余29个省局按照要求提交了自评报告及相关印证材料。认证监管司组织专家对各省</w:t>
      </w:r>
      <w:r>
        <w:rPr>
          <w:rFonts w:hint="eastAsia" w:eastAsia="仿宋_GB2312" w:cs="Times New Roman"/>
          <w:snapToGrid w:val="0"/>
          <w:kern w:val="2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  <w:t>报送的材料进行汇总审核，建立了《各省提升行动工作台账》及原始档案。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2. 开展第三方测评。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评估提升行动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工作成效，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认证监管司委托第三方机构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  <w:t>对全国所有</w:t>
      </w:r>
      <w:r>
        <w:rPr>
          <w:rFonts w:hint="eastAsia" w:eastAsia="仿宋_GB2312" w:cs="Times New Roman"/>
          <w:snapToGrid w:val="0"/>
          <w:kern w:val="2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  <w:t>帮扶</w:t>
      </w:r>
      <w:r>
        <w:rPr>
          <w:rFonts w:hint="eastAsia" w:eastAsia="仿宋_GB2312" w:cs="Times New Roman"/>
          <w:snapToGrid w:val="0"/>
          <w:kern w:val="2"/>
          <w:sz w:val="32"/>
          <w:szCs w:val="32"/>
          <w:lang w:val="en-US" w:eastAsia="zh-CN"/>
        </w:rPr>
        <w:t>小微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  <w:t>企业开展问卷调查，</w:t>
      </w:r>
      <w:r>
        <w:rPr>
          <w:rFonts w:hint="eastAsia" w:eastAsia="仿宋_GB2312" w:cs="Times New Roman"/>
          <w:snapToGrid w:val="0"/>
          <w:kern w:val="2"/>
          <w:sz w:val="32"/>
          <w:szCs w:val="32"/>
          <w:lang w:val="en-US" w:eastAsia="zh-CN"/>
        </w:rPr>
        <w:t>调查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  <w:t>内容涵盖提升成效、企业满意度、改进意见等3个维度，涉及17项问题，共回收有效问卷14267份。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为验证问卷调查的真实性和准确性，组织对各省</w:t>
      </w:r>
      <w:r>
        <w:rPr>
          <w:rFonts w:hint="eastAsia" w:eastAsia="仿宋_GB2312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帮扶</w:t>
      </w:r>
      <w:r>
        <w:rPr>
          <w:rFonts w:hint="eastAsia" w:eastAsia="仿宋_GB2312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小微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企业随机进行电话回访，共抽样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  <w:t>151家企业，占有效问卷数量的1.06%。接受电话回访的企业均反馈未受到外来因素影响、干扰或暗示，说明问卷调查的数据真实可信。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3.形成评估结果。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  <w:t>在省局自评、第三方测评的基础上，认证监管司组织专家完成对</w:t>
      </w:r>
      <w:r>
        <w:rPr>
          <w:rFonts w:hint="eastAsia" w:eastAsia="仿宋_GB2312" w:cs="Times New Roman"/>
          <w:snapToGrid w:val="0"/>
          <w:kern w:val="2"/>
          <w:sz w:val="32"/>
          <w:szCs w:val="32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lang w:val="en-US" w:eastAsia="zh-CN"/>
        </w:rPr>
        <w:t>各省提升行动工作质量的评估。</w:t>
      </w:r>
      <w:r>
        <w:rPr>
          <w:rFonts w:hint="default" w:ascii="Times New Roman" w:hAnsi="Times New Roman" w:eastAsia="楷体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排名前10的省份依次为：浙江、山东、江苏、山西、上海、辽宁、福建、河北、安徽和广东。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both"/>
        <w:textAlignment w:val="auto"/>
        <w:rPr>
          <w:rFonts w:hint="default" w:ascii="Times New Roman" w:hAnsi="Times New Roman" w:cs="Times New Roman"/>
          <w:bCs w:val="0"/>
          <w:snapToGrid/>
          <w:color w:val="auto"/>
          <w:kern w:val="2"/>
          <w:sz w:val="32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Cs w:val="0"/>
          <w:snapToGrid/>
          <w:color w:val="auto"/>
          <w:kern w:val="2"/>
          <w:sz w:val="32"/>
          <w:szCs w:val="24"/>
          <w:highlight w:val="none"/>
          <w:lang w:val="en-US" w:eastAsia="zh-CN" w:bidi="ar"/>
        </w:rPr>
        <w:t>二、工作举措及成效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（一）强化组织发动协同，工作格局更加完善。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国家层面，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总局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、发展改革委、工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业和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信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息化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等18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部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联合印发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《进一步提高产品、工程和服务质量行动方案（2022—2025年）》（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国市监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发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bidi="ar"/>
        </w:rPr>
        <w:t>〔202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bidi="ar"/>
        </w:rPr>
        <w:t>〕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 w:bidi="ar"/>
        </w:rPr>
        <w:t>95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bidi="ar"/>
        </w:rPr>
        <w:t>号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lang w:val="en-US" w:eastAsia="zh-CN"/>
        </w:rPr>
        <w:t>部署“深入推进小微企业质量管理体系认证升级行动”。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总局将提升行动纳入2022年度重点工作。促进个体工商户发展部际联席会议将“开展小微企业质量管理体系认证提升行动区域试点”纳入工作要点。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工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业和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信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息化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部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部署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质量标准品牌赋值中小企业专项行动，推动中小企业质量管理体系贯标。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认监委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bidi="ar"/>
        </w:rPr>
        <w:t>印发《关于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持续做好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bidi="ar"/>
        </w:rPr>
        <w:t>小微企业质量管理体系认证提升行动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”相关工作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bidi="ar"/>
        </w:rPr>
        <w:t>的通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bidi="ar"/>
        </w:rPr>
        <w:t>知》（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认秘函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bidi="ar"/>
        </w:rPr>
        <w:t>〔202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bidi="ar"/>
        </w:rPr>
        <w:t>〕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 w:bidi="ar"/>
        </w:rPr>
        <w:t>33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bidi="ar"/>
        </w:rPr>
        <w:t>号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bidi="ar"/>
        </w:rPr>
        <w:t>），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对在全国范围内持续深入开展提升行动作出统一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要求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"/>
        </w:rPr>
        <w:t>地方层面，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1个省（区、市）全部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bidi="ar"/>
        </w:rPr>
        <w:t>印发提升行动工作方案或实施意见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累计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bidi="ar"/>
        </w:rPr>
        <w:t>出台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bidi="ar"/>
        </w:rPr>
        <w:t>5</w:t>
      </w:r>
      <w:r>
        <w:rPr>
          <w:rFonts w:hint="eastAsia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45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bidi="ar"/>
        </w:rPr>
        <w:t>项政策激励措施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鼓励、支持、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bidi="ar"/>
        </w:rPr>
        <w:t>引导认证机构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社会团体和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bidi="ar"/>
        </w:rPr>
        <w:t>小微企业积极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参与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bidi="ar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多地建立党建引领工作机制，山东建立省市县支部“三级联动”质量认证志愿服务工作机制，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天津探索“党建+技术”沉浸式精准帮扶模式。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江苏将提升行动纳入长三角市场监管一体化发展目标</w:t>
      </w:r>
      <w:r>
        <w:rPr>
          <w:rFonts w:hint="eastAsia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snapToGrid w:val="0"/>
          <w:szCs w:val="32"/>
          <w:lang w:bidi="ar"/>
        </w:rPr>
        <w:t>天津、河北、湖南等12</w:t>
      </w:r>
      <w:r>
        <w:rPr>
          <w:rFonts w:hint="eastAsia" w:eastAsia="仿宋_GB2312" w:cs="Times New Roman"/>
          <w:snapToGrid w:val="0"/>
          <w:szCs w:val="32"/>
          <w:lang w:eastAsia="zh-CN" w:bidi="ar"/>
        </w:rPr>
        <w:t>个省市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bidi="ar"/>
        </w:rPr>
        <w:t>建立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了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bidi="ar"/>
        </w:rPr>
        <w:t>市场监管与工信、商务、民政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bidi="ar"/>
        </w:rPr>
        <w:t>财税等多部门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的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bidi="ar"/>
        </w:rPr>
        <w:t>联动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工作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bidi="ar"/>
        </w:rPr>
        <w:t>机制</w:t>
      </w:r>
      <w:r>
        <w:rPr>
          <w:rFonts w:hint="eastAsia" w:eastAsia="仿宋_GB2312" w:cs="Times New Roman"/>
          <w:snapToGrid w:val="0"/>
          <w:color w:val="auto"/>
          <w:sz w:val="32"/>
          <w:szCs w:val="32"/>
          <w:highlight w:val="none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浙江、重庆、山东等23个</w:t>
      </w:r>
      <w:r>
        <w:rPr>
          <w:rFonts w:hint="eastAsia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省市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为提升行动提供资金保障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2.17亿元</w:t>
      </w:r>
      <w:r>
        <w:rPr>
          <w:rFonts w:hint="eastAsia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。江苏、山东、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eastAsia="zh-CN" w:bidi="ar"/>
        </w:rPr>
        <w:t>福建、贵州等地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将提升行动融入企业融资增信体系，提高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对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获证小微企业的融资支持力度</w:t>
      </w:r>
      <w:r>
        <w:rPr>
          <w:rFonts w:hint="eastAsia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highlight w:val="none"/>
          <w:lang w:val="en-US" w:eastAsia="zh-CN" w:bidi="ar"/>
        </w:rPr>
        <w:t>上海等地将提升行动纳入“专精特新”“小巨人”培育计划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认证机构层面，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-SA"/>
        </w:rPr>
        <w:t>2022年新增175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-SA"/>
        </w:rPr>
        <w:t>家认证机构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-SA"/>
        </w:rPr>
        <w:t>签署提升行动倡议，签署倡议的认证机构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-SA"/>
        </w:rPr>
        <w:t>累计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-SA"/>
        </w:rPr>
        <w:t>达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352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bidi="ar"/>
        </w:rPr>
        <w:t>家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，其中有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302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家认证机构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面向小微企业实施精准帮扶，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bidi="ar"/>
        </w:rPr>
        <w:t>并为企业减免认证费用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从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资金性质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看，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Cs w:val="32"/>
          <w:lang w:eastAsia="zh-CN"/>
        </w:rPr>
        <w:t>内资机构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  <w:t>和外资机构比例较为均衡；从规模和成立时间看，既有成立时间较早的老机构大机构，也有近年成立的新机构小机构，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  <w:t>机构组成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  <w:t>具有广泛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  <w:t>代表性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Cs w:val="32"/>
          <w:lang w:val="en-US" w:eastAsia="zh-CN" w:bidi="ar"/>
        </w:rPr>
        <w:t>社会团体方面，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  <w:t>中国中小企业协会、中国认证认可协会、中国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  <w:t>出入境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  <w:t>检验检疫协会</w:t>
      </w:r>
      <w:r>
        <w:rPr>
          <w:rFonts w:hint="eastAsia" w:eastAsia="仿宋_GB2312" w:cs="Times New Roman"/>
          <w:snapToGrid w:val="0"/>
          <w:color w:val="auto"/>
          <w:kern w:val="2"/>
          <w:szCs w:val="32"/>
          <w:lang w:val="en-US" w:eastAsia="zh-CN"/>
        </w:rPr>
        <w:t>以及部分地方行业学协会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Cs w:val="32"/>
          <w:lang w:val="en-US" w:eastAsia="zh-CN"/>
        </w:rPr>
        <w:t>充分发挥专业、组织和专家优势，积极开展培训宣传工作。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</w:rPr>
        <w:t>经过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eastAsia="zh-CN"/>
        </w:rPr>
        <w:t>各方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高效联动、协同配合，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</w:rPr>
        <w:t>总局统筹规划、统一部署，地方政府优化环境、狠抓落实，认证机构主动作为、精准帮扶，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eastAsia="zh-CN"/>
        </w:rPr>
        <w:t>小微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</w:rPr>
        <w:t>企业积极参与、创新发展的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</w:rPr>
        <w:t>工作格局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lang w:val="en-US" w:eastAsia="zh-CN"/>
        </w:rPr>
        <w:t>进一步完善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整体服务效能进一步提升。小微企业对提升行动的满意度从2021年的97.4%提升至99.23%；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lang w:val="en-US" w:eastAsia="zh-CN" w:bidi="ar"/>
        </w:rPr>
        <w:t>“认证机构专业能力”“政府服务措施”“认证机构服务态度”“宣传培训”“政府激励引导政策”等举措受到小微企业普遍认可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图2）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28"/>
          <w:szCs w:val="28"/>
          <w:highlight w:val="cyan"/>
          <w:lang w:val="en-US" w:eastAsia="zh-CN" w:bidi="ar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573270" cy="3314065"/>
            <wp:effectExtent l="0" t="0" r="17780" b="635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>图2</w:t>
      </w:r>
      <w:r>
        <w:rPr>
          <w:rFonts w:hint="eastAsia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 xml:space="preserve"> 2022年度小微企业提升行动满意度分布图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二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加大培训宣传力度，企业质量意识明显增强。</w:t>
      </w:r>
    </w:p>
    <w:p>
      <w:pPr>
        <w:pStyle w:val="19"/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561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一是围绕共性质量问题，开展重点培训宣传。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进一步梳理归纳小微企业普遍存在的“两难”“两不”“两低”共性问题，完善共性质量问题清单，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总局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编制发布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eastAsia="zh-CN" w:bidi="ar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bidi="ar"/>
        </w:rPr>
        <w:t>小微企业质量管理体系认证提升行动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eastAsia="zh-CN" w:bidi="ar"/>
        </w:rPr>
        <w:t>工作指南（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2022版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eastAsia="zh-CN" w:bidi="ar"/>
        </w:rPr>
        <w:t>）》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 w:bidi="ar"/>
        </w:rPr>
        <w:t>湖北、宁夏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10个地方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围绕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食品、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 w:bidi="ar"/>
        </w:rPr>
        <w:t>信息技术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陶瓷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13个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行业共性质量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需求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编制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 w:bidi="ar"/>
        </w:rPr>
        <w:t>提升行动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实施指南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51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29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个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省（区、市）组织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开展企业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优良案例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编制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形成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优良案例142项，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经过专家评审，浙江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《定制技术攻关方案 突破质量管理难关》等2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项案例拟作为提升行动第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批优良案例发布。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二是围绕个性质量问题，开展定制培训宣传。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"/>
        </w:rPr>
        <w:t>各地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bidi="ar"/>
        </w:rPr>
        <w:t>贴合企业实际需求，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通过专家进企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专家会诊、设立质量工作站等方式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，选派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专业能力和责任心强的专家深入企业一线，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宣讲质量管理知识，帮助企业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制定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个性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化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的质量问题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解决方案。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三是围绕基础常识问题，开展广泛培训宣传。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在总局“百万企业全面质量管理培训平台”上线《质量管理的建立和运行》等精品课程，开通提升行动官方抖音账号。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北京、贵州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等地建立了小微企业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综合培训平台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各地突出主阵地与新媒体结合、日常推进与重要节点结合、线上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与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线下结合的方式，打造宣传矩阵，丰富培训形式，广泛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开展培训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宣传。据不完全统计，各地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共开展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宣传报道4662次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线下专题宣传3847次，发放宣传资料17.5万份，制作宣传视频65个。</w:t>
      </w:r>
    </w:p>
    <w:p>
      <w:pPr>
        <w:pStyle w:val="19"/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561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6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通过培训宣传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各地区、各行业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bidi="ar"/>
        </w:rPr>
        <w:t>小微企业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参与提升行动的积极性和主动性明显提升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质量意识明显增强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eastAsia="仿宋_GB2312" w:cs="Times New Roman"/>
          <w:snapToGrid w:val="0"/>
          <w:color w:val="auto"/>
          <w:sz w:val="32"/>
          <w:szCs w:val="32"/>
          <w:highlight w:val="none"/>
          <w:lang w:val="en-US" w:eastAsia="zh-CN" w:bidi="ar"/>
        </w:rPr>
        <w:t>全国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累计为21万家小微企业超100万人次提供免费培训</w:t>
      </w:r>
      <w:r>
        <w:rPr>
          <w:rFonts w:hint="default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2022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参与精准帮扶的小微企业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达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2.1万余家，比2021年（5639家）增长近3倍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90.46%的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被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帮扶企业表示质量意识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得到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显著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提升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例如，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福建泉州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某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卫浴有限公司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通过认证机构实地帮扶，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专门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组建质量管理提升小组，为员工开展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质量体系标准、精益6S管理等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培训，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建立了完善的全过程质量控制体系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营造了全员参与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质量提升的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氛围，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napToGrid w:val="0"/>
          <w:color w:val="000000"/>
          <w:spacing w:val="0"/>
          <w:kern w:val="2"/>
          <w:sz w:val="32"/>
          <w:szCs w:val="32"/>
          <w:highlight w:val="none"/>
          <w:shd w:val="clear" w:color="auto" w:fill="auto"/>
          <w:lang w:val="en-US" w:eastAsia="zh-CN"/>
        </w:rPr>
        <w:t>企业从一把手到一线员工，质量意识及能力得到明显提升。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（三）创新精准帮扶举措，企业质量管理效能显著提升。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561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各地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市场监管部门和认证机构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紧密围绕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国家重大战略、地方经济发展、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产业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转型升级、企业生存发展需求，坚持问题导向，实施精准帮扶。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一是聚焦产业发展，精选帮扶对象。</w:t>
      </w:r>
      <w:r>
        <w:rPr>
          <w:rFonts w:hint="eastAsia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各地围绕深入实施制造强国、质量强国战略以及服务地方优势支柱产业发展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，广泛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开展小微企业提升需求调研，</w:t>
      </w:r>
      <w:r>
        <w:rPr>
          <w:rFonts w:hint="eastAsia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精心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遴选意愿强、基础好、</w:t>
      </w:r>
      <w:r>
        <w:rPr>
          <w:rFonts w:hint="eastAsia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示范带动性强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的小微企业</w:t>
      </w:r>
      <w:r>
        <w:rPr>
          <w:rFonts w:hint="eastAsia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作为帮扶对象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增强提升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行动的针对性。例如，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广东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聚焦培育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20个战略性产业集群，在重点产业集聚区分片区深入1100余家小微企业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调研，遴选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出</w:t>
      </w:r>
      <w:r>
        <w:rPr>
          <w:rFonts w:hint="eastAsia" w:eastAsia="仿宋_GB2312" w:cs="Times New Roman"/>
          <w:snapToGrid w:val="0"/>
          <w:color w:val="auto"/>
          <w:spacing w:val="-6"/>
          <w:sz w:val="32"/>
          <w:szCs w:val="28"/>
          <w:lang w:bidi="ar"/>
        </w:rPr>
        <w:t>316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家参与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提升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行动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意愿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强烈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的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小微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企业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进行帮扶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。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6"/>
          <w:sz w:val="32"/>
          <w:lang w:val="en-US" w:eastAsia="zh-CN"/>
        </w:rPr>
        <w:t>2022年，各地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续加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大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对制造业小微企业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帮扶力度，重点遴选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出一批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新一代信息技术、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节能及新能源汽车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制造强国十大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重点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产业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领域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的小微企业实施帮扶，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制造业小微企业</w:t>
      </w:r>
      <w:r>
        <w:rPr>
          <w:rFonts w:hint="eastAsia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占比达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71.35%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二是注重一企一策，强调综合施策。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针对小微企业“质量痛点”，各地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组织认证机构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对企业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开展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个性化精准帮扶，通过重构企业生产流程、完善管理制度、改进关键工艺等手段，提升管理水平和产品质量。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同时，注重以质量管理体系认证为牵引，综合运用标准、计量、检验检测、知识产权、品牌建设等要素资源，提升帮扶的整体性和有效性。辽宁、江苏、浙江等地通过“质量管家”“质量小站”等质量基础设施一站式服务平台，为企业提供整体性质量帮扶方案，上海、黑龙江等地将提升行动与有机产品认证、高端品质认证等协同推进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三是分类分级分层，科学精准施策。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浙江等地结合地方产业特色，对企业进行“分类+分层+分级”，根据企业之间质量基础、管理水平、人员素质等差异，明确不同的质量提升方向，制定差异化的提升行动方案，依托认证机构对企业进行精准帮扶。浙江湖州吴兴区针对童装产业发展难题创新“三分法”提升模式，制定《童装产业分层分类分级质量提升工作规范》地方技术规范，助力区域块状产业发展。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561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2022年，认为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提升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行动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成效明显的小微企业比例从2021年的95.88%提升至96.95%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2</w:t>
      </w:r>
      <w:r>
        <w:rPr>
          <w:rFonts w:hint="default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728家小微企业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参加精准帮扶后</w:t>
      </w:r>
      <w:r>
        <w:rPr>
          <w:rFonts w:hint="default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获得质量管理体系认证证书，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比2021年</w:t>
      </w:r>
      <w:r>
        <w:rPr>
          <w:rFonts w:hint="default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增长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约</w:t>
      </w:r>
      <w:r>
        <w:rPr>
          <w:rFonts w:hint="default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1.6倍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。被帮扶的小微企业在质量意识提升、管理制度完善、质量水平提升、经营业绩提升、客户满意度等11个方面均取得明显提升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图3）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为小微企业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有效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应对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新冠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疫情冲击、市场需求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不振、运营成本增高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等影响提供了有力支撑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据不完全统计，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2022年度参与提升行动的小微企业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年度营收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平均增加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%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 w:bidi="ar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年产销量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平均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提升1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%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 w:bidi="ar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利润率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平均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2"/>
          <w:szCs w:val="32"/>
          <w:highlight w:val="none"/>
          <w:lang w:bidi="ar"/>
        </w:rPr>
        <w:t>提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升10%</w:t>
      </w: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，在疫情冲击和成本上涨等多重因素影响下，实现效益逆势增长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 w:bidi="ar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各地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涌现出一批精准帮扶成效突出的企业案例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浙江嘉兴某包装有限公司通过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参与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提升行动解决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质量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瓶颈问题，提升了产品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质量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和生产效率，人均产量增加145.7%，产品万只能耗下降7.8%，人工成本降低28%，产品合格率从98.2%提升至99.8%，客户满意度从96.5%提升至98.2%。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</w:pPr>
      <w:r>
        <w:drawing>
          <wp:inline distT="0" distB="0" distL="114300" distR="114300">
            <wp:extent cx="5716905" cy="3063875"/>
            <wp:effectExtent l="0" t="0" r="10795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cyan"/>
          <w:lang w:val="en-US" w:eastAsia="zh-CN" w:bidi="ar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 xml:space="preserve">图3 </w:t>
      </w:r>
      <w:r>
        <w:rPr>
          <w:rFonts w:hint="eastAsia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>2022年度小微企业提升</w:t>
      </w:r>
      <w:r>
        <w:rPr>
          <w:rFonts w:hint="eastAsia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>成效</w:t>
      </w:r>
      <w:r>
        <w:rPr>
          <w:rFonts w:hint="default" w:ascii="Times New Roman" w:hAnsi="Times New Roman" w:eastAsia="黑体" w:cs="Times New Roman"/>
          <w:snapToGrid w:val="0"/>
          <w:color w:val="auto"/>
          <w:kern w:val="2"/>
          <w:sz w:val="28"/>
          <w:szCs w:val="28"/>
          <w:highlight w:val="none"/>
          <w:lang w:val="en-US" w:eastAsia="zh-CN" w:bidi="ar"/>
        </w:rPr>
        <w:t>分布图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（四）注重试点引领带动，促进地方产业做优做强。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1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2022年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总局在河北、山西、江苏、浙江、福建、广东等6</w:t>
      </w:r>
      <w:r>
        <w:rPr>
          <w:rFonts w:hint="eastAsia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个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省</w:t>
      </w:r>
      <w:r>
        <w:rPr>
          <w:rFonts w:hint="eastAsia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份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部署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开展提升行动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首批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区域试点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工作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，发挥地方产业园区、工业园区和产业集聚区的规模优势和集聚效应，推动安平丝网、大同黄芪、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雨花台软件和信息服务、丰县新能源车辆及配件、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吴兴童装、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德清地理信息、上虞伞件、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沙县小吃</w:t>
      </w:r>
      <w:r>
        <w:rPr>
          <w:rFonts w:hint="default" w:eastAsia="仿宋_GB2312"/>
          <w:b w:val="0"/>
          <w:snapToGrid w:val="0"/>
          <w:color w:val="auto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 w:bidi="ar"/>
        </w:rPr>
        <w:t>黄埔智能装备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等9</w:t>
      </w:r>
      <w:r>
        <w:rPr>
          <w:rFonts w:hint="eastAsia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个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区域产业高质量转型发展。河北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省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安平县实施区域丝网产业提升行动，制定运用质量管理体系进行全产业链</w:t>
      </w: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“补短板、强弱项、提质量、增品质、创品牌”整体提升方案，带动丝网产业整体改善质量管理水平，助力“安平丝网”走向世界，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并作为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主场馆顶棚装饰亮相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2022年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卡塔尔世界杯</w:t>
      </w:r>
      <w:r>
        <w:rPr>
          <w:rFonts w:hint="eastAsia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山西大同黄花产业通过提升行动增产增收，带动黄花产业从种植加工向文农旅深度融合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转型发展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，产值突破42亿元，同比增长40%，成为引领当地乡村振兴的主导产业、富民产业。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1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在区域试点的示范带动下，各地纷纷将提升行动与地方支柱产业、特色产业高质量转型发展有机结合，推动解决地域共性、行业共性质量问题，带动小微企业质量管理水平整体提升，支撑地方产业做优做强。江苏围绕新一代信息技术、新能源汽车及配件、先进特色半导体等重点产业实施“产业强链”行动，通过“由点及链”精准帮扶，破解制约小微企业质量提升的关键共性技术瓶颈，提高供应链整体质量水平。山东聚焦地方产业链提升的“关键环节”，针对“黄河口滩羊”行业布局散、档次低、链条短等问题，精准帮扶企业建立质量管理体系，实现规范化、标准化养殖，推动滩羊行业向繁育饲养、屠宰加工、冷链物流全产业链发展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广西围绕柳州螺蛳粉、梧州六堡茶、百色铝型材等特色产业，通过帮扶小微企业编制标准、重构流程、改善工艺等，进一步提升小微企业的管理水平和产品质量，促进产业转型升级。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napToGrid w:val="0"/>
          <w:color w:val="auto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Cs/>
          <w:snapToGrid w:val="0"/>
          <w:color w:val="auto"/>
          <w:szCs w:val="32"/>
          <w:highlight w:val="none"/>
          <w:lang w:val="en-US" w:eastAsia="zh-CN" w:bidi="ar"/>
        </w:rPr>
        <w:t>三、经验启示</w:t>
      </w:r>
    </w:p>
    <w:p>
      <w:pPr>
        <w:pStyle w:val="19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color w:val="auto"/>
          <w:kern w:val="2"/>
          <w:sz w:val="32"/>
          <w:szCs w:val="32"/>
          <w:highlight w:val="none"/>
          <w:shd w:val="clear" w:color="FFFFFF" w:fill="D9D9D9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经过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年多持续努力，提升行动通过试点带动、全面展开、案例剖析、经验交流、工作评估等方式，不断总结创新，形成一系列规律性认识。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（一）政府引导推动，多方协同联动。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highlight w:val="none"/>
          <w:shd w:val="clear" w:fill="auto"/>
          <w:lang w:val="en-US" w:eastAsia="zh-CN"/>
        </w:rPr>
        <w:t>提升行动坚持“政府引导、市场主导”的工作理念，注重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shd w:val="clear" w:fill="auto"/>
          <w:lang w:val="en-US" w:eastAsia="zh-CN" w:bidi="ar-SA"/>
        </w:rPr>
        <w:t>有为政府和有效市场更好结合，充分调动各方力量，不断完善工作格局，持续提升帮扶成效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shd w:val="clear" w:fill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实践证明，建立健全“政府引导推动，多方协同联动”的工作机制是提升行动取得实效的基础。政府部门作为组织者、推动者，是各方协同联动的桥梁纽带，需要发挥好政策支持和激励引导作用；认证机构作为提升行动的服务提供方，是技术帮扶的主力军，其专业能力和服务水平是影响提升成效的重要因素；小微企业既是提升行动的服务对象，也是实施质量管理体系的主体，其“有意愿、想改进、盼提升”的积极性是提升行动有效开展的必要前提。行业学协会、产业园区和研究机构等社会各方力量在组织发动、精准帮扶、培训宣传等方面也发挥着重要作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（二）强化问题导向，注重精准施策。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当前，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我国小微企业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量大面广，发展不平衡不充分的问题突出，行业差异、地域差异、发展阶段差异明显，小微企业质量管理体系认证提升行动没有“放之四海而皆准”的标准模式，照搬照抄国际标准、生搬硬套外国经验，千篇一律、大水漫灌式的贯标方式，提升效果不佳，小微企业获得感不强。实践证明，只有坚持问题导向，准确地判断我国小微企业面临的形势、发展的态势，全面地分析小微企业面临的困难、存在的问题，立足小微企业实际需求，实施一企一策、精准灌溉、靶向治疗的精准帮扶，才能让提升成效更加明显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（三）聚焦支柱产业，突出示范引领。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小微企业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市场经济的毛细血管，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在推动产业转型升级、促进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区域协调发展等方面发挥着重要作用。小微企业高质量发展、产业转型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升级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和区域协调发展三者之间紧密联系、相互促进、相辅相成。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/>
        </w:rPr>
        <w:t>聚焦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</w:rPr>
        <w:t>地方支柱产业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/>
        </w:rPr>
        <w:t>、特色产业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小微企业质量管理体系认证提升行动区域试点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工作，发挥试点的示范带动作用，以点带面，有利于进一步调动地方政府的积极性，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激发小微企业创新创造活力，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提升产业链整体质量水平，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打造地方区域品牌，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助推区域产业转型升级。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（四）着力持续帮扶，坚持久久为功。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质量管理体系认证具有系统性、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持续性、周期性等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特点。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当前，我国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小微企业普遍存在的质量意识薄弱、管理水平低下、质量人才匮乏等问题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，帮助广大小微企业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发现和补齐质量管理短板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建立并有效运行质量管理体系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，是一项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长期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任务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，不能一蹴而就，需要持之以恒、久久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为功。通过准确把握我国</w:t>
      </w:r>
      <w:r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小微企业转型发展的客观规律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，科学运用质量管理方法与工具，对小微企业开展持续性的跟踪帮扶，增强企业质量管理能力，提升企业发展的内驱力、创新力，</w:t>
      </w:r>
      <w:r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推动</w:t>
      </w:r>
      <w:r>
        <w:rPr>
          <w:rFonts w:hint="eastAsia" w:ascii="Times New Roman Regular" w:hAnsi="Times New Roman Regular" w:eastAsia="仿宋_GB2312" w:cs="Times New Roman Regular"/>
          <w:color w:val="auto"/>
          <w:sz w:val="32"/>
          <w:szCs w:val="32"/>
          <w:lang w:val="en-US" w:eastAsia="zh-CN"/>
        </w:rPr>
        <w:t>广大小微企业高质量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四、存在</w:t>
      </w:r>
      <w:r>
        <w:rPr>
          <w:rFonts w:hint="eastAsia" w:ascii="Times New Roman" w:hAnsi="Times New Roman" w:eastAsia="黑体" w:cs="Times New Roman"/>
          <w:b w:val="0"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的主要</w:t>
      </w:r>
      <w:r>
        <w:rPr>
          <w:rFonts w:hint="default" w:ascii="Times New Roman" w:hAnsi="Times New Roman" w:eastAsia="黑体" w:cs="Times New Roman"/>
          <w:b w:val="0"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问题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firstLine="640" w:firstLineChars="200"/>
        <w:textAlignment w:val="auto"/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提升行动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以来，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助推小微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企业发展、产业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转型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升级、国家战略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的成效持续显现，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但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仍然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存在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一些问题和不足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主要体现在：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bidi="ar"/>
        </w:rPr>
        <w:t>政府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引导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bidi="ar"/>
        </w:rPr>
        <w:t>推动作用有待进一步发挥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总局、工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业和信息化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等多部门协同推进提升行动的机制有待建立健全，工作合力不足，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对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地方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市场监管部门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认证机构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及相关方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的政策指导有待进一步加强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各地开展提升行动情况不均衡，中西部地区投入保障力度不足。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部分地方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对提升行动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重视不够，未与地方经济高质量发展重点任务有效衔接、融合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未建立质量管理体系认证与财税、金融、就业等小微企业激励政策的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部门间协调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联动机制。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color w:val="auto"/>
          <w:spacing w:val="-11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（二）培训宣传工作有待进一步加强。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小微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企业关于进一步增加培训频次、提升培训质量的需求十分迫切。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部分地区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未建立系统化、常态化的培训机制，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质量管理培训教材和师资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力量无法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有效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满足企业需求，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缺乏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企业实际需求的解决方案、成功经验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11"/>
          <w:kern w:val="2"/>
          <w:sz w:val="32"/>
          <w:szCs w:val="32"/>
          <w:highlight w:val="none"/>
          <w:lang w:val="en-US" w:eastAsia="zh-CN" w:bidi="ar"/>
        </w:rPr>
        <w:t>和鲜活案例</w:t>
      </w:r>
      <w:r>
        <w:rPr>
          <w:rFonts w:hint="eastAsia" w:eastAsia="仿宋_GB2312" w:cs="Times New Roman"/>
          <w:b w:val="0"/>
          <w:bCs w:val="0"/>
          <w:snapToGrid w:val="0"/>
          <w:color w:val="auto"/>
          <w:spacing w:val="-11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-11"/>
          <w:kern w:val="2"/>
          <w:sz w:val="32"/>
          <w:szCs w:val="32"/>
          <w:highlight w:val="none"/>
          <w:lang w:eastAsia="zh-CN"/>
        </w:rPr>
        <w:t>亟需加</w:t>
      </w:r>
      <w:r>
        <w:rPr>
          <w:rFonts w:hint="eastAsia" w:eastAsia="仿宋_GB2312" w:cs="仿宋_GB2312"/>
          <w:snapToGrid w:val="0"/>
          <w:color w:val="auto"/>
          <w:spacing w:val="-11"/>
          <w:kern w:val="2"/>
          <w:sz w:val="32"/>
          <w:szCs w:val="32"/>
          <w:highlight w:val="none"/>
          <w:lang w:val="en-US" w:eastAsia="zh-CN"/>
        </w:rPr>
        <w:t>大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-11"/>
          <w:kern w:val="2"/>
          <w:sz w:val="32"/>
          <w:szCs w:val="32"/>
          <w:highlight w:val="none"/>
          <w:lang w:eastAsia="zh-CN"/>
        </w:rPr>
        <w:t>宣传培训</w:t>
      </w:r>
      <w:r>
        <w:rPr>
          <w:rFonts w:hint="eastAsia" w:eastAsia="仿宋_GB2312" w:cs="仿宋_GB2312"/>
          <w:snapToGrid w:val="0"/>
          <w:color w:val="auto"/>
          <w:spacing w:val="-11"/>
          <w:kern w:val="2"/>
          <w:sz w:val="32"/>
          <w:szCs w:val="32"/>
          <w:highlight w:val="none"/>
          <w:lang w:eastAsia="zh-CN"/>
        </w:rPr>
        <w:t>力度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-11"/>
          <w:kern w:val="2"/>
          <w:sz w:val="32"/>
          <w:szCs w:val="32"/>
          <w:highlight w:val="none"/>
          <w:lang w:eastAsia="zh-CN"/>
        </w:rPr>
        <w:t>，提高针对性、通俗性、实效性、</w:t>
      </w:r>
      <w:r>
        <w:rPr>
          <w:rFonts w:hint="eastAsia" w:ascii="Times New Roman" w:hAnsi="Times New Roman" w:eastAsia="仿宋_GB2312" w:cs="仿宋_GB2312"/>
          <w:snapToGrid w:val="0"/>
          <w:color w:val="auto"/>
          <w:spacing w:val="-6"/>
          <w:kern w:val="2"/>
          <w:sz w:val="32"/>
          <w:szCs w:val="32"/>
          <w:highlight w:val="none"/>
          <w:lang w:eastAsia="zh-CN"/>
        </w:rPr>
        <w:t>持续性，扩大覆盖面</w:t>
      </w:r>
      <w:r>
        <w:rPr>
          <w:rFonts w:hint="eastAsia" w:eastAsia="仿宋_GB2312" w:cs="仿宋_GB2312"/>
          <w:snapToGrid w:val="0"/>
          <w:color w:val="auto"/>
          <w:spacing w:val="-6"/>
          <w:kern w:val="2"/>
          <w:sz w:val="32"/>
          <w:szCs w:val="32"/>
          <w:highlight w:val="none"/>
          <w:lang w:eastAsia="zh-CN"/>
        </w:rPr>
        <w:t>，调动广大小微企业加强质量管理的积极性。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FF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eastAsia="zh-CN" w:bidi="ar"/>
        </w:rPr>
        <w:t>（三）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bidi="ar"/>
        </w:rPr>
        <w:t>认证机构服务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效能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bidi="ar"/>
        </w:rPr>
        <w:t>有待进一步提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升。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/>
        </w:rPr>
        <w:t>认证机构服务供给仍然不足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参与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提升行动的认证机构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和专家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数量还较少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目前参与机构数量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占比不到质量管理体系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认证机构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总数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的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1/3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。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认证机构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在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优化认证程序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开发适合小微企业的质量管理工具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等方面的创新能力有待提高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，超过</w:t>
      </w:r>
      <w:r>
        <w:rPr>
          <w:rFonts w:hint="eastAsia" w:eastAsia="仿宋_GB2312" w:cs="仿宋_GB2312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2/3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小微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企业希望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  <w:lang w:eastAsia="zh-CN"/>
        </w:rPr>
        <w:t>认证机构</w:t>
      </w:r>
      <w:r>
        <w:rPr>
          <w:rFonts w:hint="eastAsia" w:ascii="Times New Roman" w:hAnsi="Times New Roman" w:eastAsia="仿宋_GB2312" w:cs="仿宋_GB2312"/>
          <w:snapToGrid w:val="0"/>
          <w:color w:val="auto"/>
          <w:kern w:val="2"/>
          <w:sz w:val="32"/>
          <w:szCs w:val="32"/>
          <w:highlight w:val="none"/>
        </w:rPr>
        <w:t>加大持续跟踪服务力度。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五、下一步工作</w:t>
      </w:r>
      <w:r>
        <w:rPr>
          <w:rFonts w:hint="eastAsia" w:ascii="Times New Roman" w:hAnsi="Times New Roman" w:eastAsia="黑体" w:cs="Times New Roman"/>
          <w:b w:val="0"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考虑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</w:rPr>
        <w:t>，总局将会同各地区、各部门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/>
        </w:rPr>
        <w:t>坚持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</w:rPr>
        <w:t>以习近平新时代中国特色社会主义思想为指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/>
        </w:rPr>
        <w:t>导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/>
        </w:rPr>
        <w:t>全面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eastAsia="zh-CN"/>
        </w:rPr>
        <w:t>贯彻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党的二十大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和中央经济工作会议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精神，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/>
        </w:rPr>
        <w:t>认真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落实</w:t>
      </w:r>
      <w:r>
        <w:rPr>
          <w:rFonts w:ascii="Times New Roman" w:hAnsi="Times New Roman" w:eastAsia="仿宋_GB2312"/>
          <w:color w:val="auto"/>
          <w:sz w:val="32"/>
          <w:szCs w:val="32"/>
        </w:rPr>
        <w:t>《质量强国建设纲要》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部署要求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，围绕加快</w:t>
      </w:r>
      <w:r>
        <w:rPr>
          <w:rFonts w:ascii="Times New Roman" w:hAnsi="Times New Roman" w:eastAsia="仿宋_GB2312"/>
          <w:color w:val="auto"/>
          <w:sz w:val="32"/>
          <w:szCs w:val="32"/>
        </w:rPr>
        <w:t>构建新发展格局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、着力推动高质量发展，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聚焦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提升我国</w:t>
      </w:r>
      <w:r>
        <w:rPr>
          <w:rFonts w:ascii="Times New Roman" w:hAnsi="Times New Roman" w:eastAsia="仿宋_GB2312"/>
          <w:color w:val="auto"/>
          <w:sz w:val="32"/>
          <w:szCs w:val="32"/>
        </w:rPr>
        <w:t>小微企业质量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管理水平</w:t>
      </w:r>
      <w:r>
        <w:rPr>
          <w:rFonts w:ascii="Times New Roman" w:hAnsi="Times New Roman" w:eastAsia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聚焦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shd w:val="clear" w:color="auto" w:fill="FFFFFF"/>
        </w:rPr>
        <w:t>提升区域和产业质量竞争力水平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推动提升行动走新走深走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实，以更大力度支持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小微企业发展</w:t>
      </w:r>
      <w:r>
        <w:rPr>
          <w:rFonts w:hint="eastAsia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持续推进</w:t>
      </w:r>
      <w:r>
        <w:rPr>
          <w:rFonts w:ascii="Times New Roman" w:hAnsi="Times New Roman" w:eastAsia="仿宋_GB2312"/>
          <w:sz w:val="32"/>
          <w:szCs w:val="32"/>
        </w:rPr>
        <w:t>质量强国建设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shd w:val="clear" w:color="auto" w:fill="FFFFFF"/>
          <w:lang w:eastAsia="zh-CN"/>
        </w:rPr>
        <w:t>结合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shd w:val="clear" w:color="auto" w:fill="FFFFFF"/>
        </w:rPr>
        <w:t>本次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shd w:val="clear" w:color="auto" w:fill="FFFFFF"/>
          <w:lang w:eastAsia="zh-CN"/>
        </w:rPr>
        <w:t>评估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shd w:val="clear" w:color="auto" w:fill="FFFFFF"/>
        </w:rPr>
        <w:t>发现问题，重点开展以下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shd w:val="clear" w:color="auto" w:fill="FFFFFF"/>
        </w:rPr>
        <w:t>个方面工作：</w:t>
      </w: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highlight w:val="none"/>
          <w:shd w:val="clear" w:color="auto" w:fill="FFFFFF"/>
          <w:lang w:eastAsia="zh-CN"/>
        </w:rPr>
        <w:t>一是加强推动引导。</w:t>
      </w:r>
      <w:r>
        <w:rPr>
          <w:rFonts w:hint="eastAsia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适时发布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《小微企业质量管理体系认证提升行动指导意见》，部署开展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提升行动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第二批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区域试点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。加强与工</w:t>
      </w:r>
      <w:r>
        <w:rPr>
          <w:rFonts w:hint="eastAsia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业和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信</w:t>
      </w:r>
      <w:r>
        <w:rPr>
          <w:rFonts w:hint="eastAsia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息化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等部门的协调联动，增强工作合力。推动地方将提升行动纳入</w:t>
      </w:r>
      <w:r>
        <w:rPr>
          <w:rFonts w:hint="eastAsia" w:ascii="Times New Roman" w:hAnsi="Times New Roman" w:eastAsia="仿宋_GB2312"/>
          <w:sz w:val="32"/>
          <w:szCs w:val="32"/>
        </w:rPr>
        <w:t>地方党委政府重要议事日程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借助财税金融工具及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“专精特新”“小巨人”等相关产业政策，引导更多的小微企业、认证机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构和行业组织参与提升行动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。将提升行动开展情况纳入对政府质量工作考核</w:t>
      </w:r>
      <w:r>
        <w:rPr>
          <w:rFonts w:hint="eastAsia" w:ascii="Times New Roman" w:hAnsi="Times New Roman" w:eastAsia="仿宋_GB2312"/>
          <w:sz w:val="32"/>
          <w:szCs w:val="32"/>
        </w:rPr>
        <w:t>和奖励、示范、督查激励等工作中。</w:t>
      </w:r>
      <w:r>
        <w:rPr>
          <w:rFonts w:hint="eastAsia" w:ascii="楷体" w:hAnsi="楷体" w:eastAsia="楷体" w:cs="楷体"/>
          <w:b w:val="0"/>
          <w:bCs w:val="0"/>
          <w:snapToGrid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二是加强帮扶工作。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围绕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主导产业</w:t>
      </w:r>
      <w:r>
        <w:rPr>
          <w:rFonts w:hint="eastAsia" w:ascii="Times New Roman" w:hAnsi="Times New Roman" w:eastAsia="仿宋_GB2312"/>
          <w:sz w:val="32"/>
          <w:szCs w:val="32"/>
        </w:rPr>
        <w:t>和特色产业，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针对小微企业</w:t>
      </w:r>
      <w:r>
        <w:rPr>
          <w:rFonts w:hint="eastAsia" w:ascii="Times New Roman" w:hAnsi="Times New Roman" w:eastAsia="仿宋_GB2312"/>
          <w:sz w:val="32"/>
          <w:szCs w:val="32"/>
        </w:rPr>
        <w:t>质量共性问题、明显短板和发展关键，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统筹运用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质量基础设施各要素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为小微企业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提供一体化全方位综合性服务</w:t>
      </w:r>
      <w:r>
        <w:rPr>
          <w:rFonts w:hint="eastAsia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eastAsia="仿宋_GB2312"/>
          <w:snapToGrid w:val="0"/>
          <w:color w:val="000000"/>
          <w:szCs w:val="32"/>
          <w:highlight w:val="none"/>
          <w:lang w:eastAsia="zh-CN"/>
        </w:rPr>
        <w:t>助力产业及产业链整体提升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有效发挥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市场机制作用，鼓励更多认证机构参与提升行动，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配齐配强高素质专家，为企业制定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个性化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提升方案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，指导小微企业建立实施质量管理体系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snapToGrid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三是加强宣传培训。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完善总局“百万企业全面质量管理培训平台”，打造一批适合小微企业、更加接地气的精品课程，组织开展质量专家在线答疑。开展区域试点现场观摩交流活动，集中宣传地方典型经验和企业优良案例，扩大社会影响力。组织小微企业参加中国质量（成都）大会、中国国际中小企业博览会等，宣传展示我国小微企业高质量发展成果。</w:t>
      </w:r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leftChars="0" w:right="320" w:rightChars="100"/>
      <w:jc w:val="right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leftChars="0" w:right="576" w:rightChars="180" w:firstLine="280" w:firstLineChars="100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1FBE3"/>
    <w:multiLevelType w:val="singleLevel"/>
    <w:tmpl w:val="2871FB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trackRevisions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OWVhYmY1ZDYzMmVjNTI0NTQ3YzNhOTAwMzU4M2QifQ=="/>
  </w:docVars>
  <w:rsids>
    <w:rsidRoot w:val="5948023D"/>
    <w:rsid w:val="01D01A4C"/>
    <w:rsid w:val="03CF58DE"/>
    <w:rsid w:val="044862E9"/>
    <w:rsid w:val="046D4E42"/>
    <w:rsid w:val="04AD4DCC"/>
    <w:rsid w:val="06396B8A"/>
    <w:rsid w:val="07544057"/>
    <w:rsid w:val="09151DCC"/>
    <w:rsid w:val="093E6F58"/>
    <w:rsid w:val="097A2F5D"/>
    <w:rsid w:val="09F643B8"/>
    <w:rsid w:val="0A5D31A8"/>
    <w:rsid w:val="0AEC5480"/>
    <w:rsid w:val="0B62494E"/>
    <w:rsid w:val="0D2242E4"/>
    <w:rsid w:val="10A5613E"/>
    <w:rsid w:val="11D32976"/>
    <w:rsid w:val="11FC7298"/>
    <w:rsid w:val="12E03516"/>
    <w:rsid w:val="13394F62"/>
    <w:rsid w:val="147909C8"/>
    <w:rsid w:val="148B6DAA"/>
    <w:rsid w:val="164D7856"/>
    <w:rsid w:val="16B7C7B0"/>
    <w:rsid w:val="16D74E1E"/>
    <w:rsid w:val="171B7F89"/>
    <w:rsid w:val="17B97470"/>
    <w:rsid w:val="180A3E46"/>
    <w:rsid w:val="181E0CF2"/>
    <w:rsid w:val="19576268"/>
    <w:rsid w:val="1A6127DB"/>
    <w:rsid w:val="1A796CDC"/>
    <w:rsid w:val="1B6E2A36"/>
    <w:rsid w:val="1BBB03A1"/>
    <w:rsid w:val="1F761564"/>
    <w:rsid w:val="1FDEA62A"/>
    <w:rsid w:val="1FF77798"/>
    <w:rsid w:val="1FFF44C4"/>
    <w:rsid w:val="20BA0EE2"/>
    <w:rsid w:val="22ED3308"/>
    <w:rsid w:val="23DF9CF0"/>
    <w:rsid w:val="251F4D50"/>
    <w:rsid w:val="2551129F"/>
    <w:rsid w:val="25774B95"/>
    <w:rsid w:val="271211BE"/>
    <w:rsid w:val="28E342BD"/>
    <w:rsid w:val="2A9924D9"/>
    <w:rsid w:val="2BCBCC16"/>
    <w:rsid w:val="2CFB6B56"/>
    <w:rsid w:val="2E504A97"/>
    <w:rsid w:val="2EDEA099"/>
    <w:rsid w:val="30A376CF"/>
    <w:rsid w:val="327F7D79"/>
    <w:rsid w:val="33D83E19"/>
    <w:rsid w:val="349D2607"/>
    <w:rsid w:val="368C607D"/>
    <w:rsid w:val="36AE7B4E"/>
    <w:rsid w:val="372934D2"/>
    <w:rsid w:val="373A1DD1"/>
    <w:rsid w:val="37A078CC"/>
    <w:rsid w:val="37A917E3"/>
    <w:rsid w:val="37F769F8"/>
    <w:rsid w:val="37FF1140"/>
    <w:rsid w:val="37FF3CA7"/>
    <w:rsid w:val="394F18D0"/>
    <w:rsid w:val="395E568B"/>
    <w:rsid w:val="39762526"/>
    <w:rsid w:val="397B09F2"/>
    <w:rsid w:val="3A2F4ECD"/>
    <w:rsid w:val="3A310282"/>
    <w:rsid w:val="3B863657"/>
    <w:rsid w:val="3C124F66"/>
    <w:rsid w:val="3C8E6D33"/>
    <w:rsid w:val="3C900FEC"/>
    <w:rsid w:val="3CD33925"/>
    <w:rsid w:val="3D7D0854"/>
    <w:rsid w:val="3DE789A2"/>
    <w:rsid w:val="3E9D2E2C"/>
    <w:rsid w:val="3ECF071E"/>
    <w:rsid w:val="3EFF207D"/>
    <w:rsid w:val="3F557DE8"/>
    <w:rsid w:val="3F7BD711"/>
    <w:rsid w:val="3F9ED870"/>
    <w:rsid w:val="3FB3275B"/>
    <w:rsid w:val="3FBD3F1F"/>
    <w:rsid w:val="3FCA59E5"/>
    <w:rsid w:val="3FCD2B85"/>
    <w:rsid w:val="3FE01765"/>
    <w:rsid w:val="3FF34FD7"/>
    <w:rsid w:val="3FFF3262"/>
    <w:rsid w:val="3FFFF5A4"/>
    <w:rsid w:val="404A3BF1"/>
    <w:rsid w:val="40AF016B"/>
    <w:rsid w:val="411B6992"/>
    <w:rsid w:val="42370B15"/>
    <w:rsid w:val="42B45BA3"/>
    <w:rsid w:val="439C31FE"/>
    <w:rsid w:val="43BD9AD0"/>
    <w:rsid w:val="44B4DBD7"/>
    <w:rsid w:val="45B61A9C"/>
    <w:rsid w:val="45F9692E"/>
    <w:rsid w:val="47660C95"/>
    <w:rsid w:val="47FBA043"/>
    <w:rsid w:val="491A00BA"/>
    <w:rsid w:val="49957E51"/>
    <w:rsid w:val="49C56DA5"/>
    <w:rsid w:val="49DD5975"/>
    <w:rsid w:val="4A2F7A77"/>
    <w:rsid w:val="4AFE54B5"/>
    <w:rsid w:val="4D726F58"/>
    <w:rsid w:val="4D7A04FC"/>
    <w:rsid w:val="4DFB46F5"/>
    <w:rsid w:val="4DFDCA16"/>
    <w:rsid w:val="4E6FA28B"/>
    <w:rsid w:val="4FFA5511"/>
    <w:rsid w:val="4FFF0FC1"/>
    <w:rsid w:val="51757AB5"/>
    <w:rsid w:val="51A81ACA"/>
    <w:rsid w:val="51B85C9B"/>
    <w:rsid w:val="52B579AE"/>
    <w:rsid w:val="52D53F6F"/>
    <w:rsid w:val="52E30163"/>
    <w:rsid w:val="53817DC1"/>
    <w:rsid w:val="53BE1104"/>
    <w:rsid w:val="53CC6F75"/>
    <w:rsid w:val="54BD1DD3"/>
    <w:rsid w:val="55DBBE88"/>
    <w:rsid w:val="56A47D90"/>
    <w:rsid w:val="58036157"/>
    <w:rsid w:val="589C4715"/>
    <w:rsid w:val="58A64D30"/>
    <w:rsid w:val="5948023D"/>
    <w:rsid w:val="5A7F661D"/>
    <w:rsid w:val="5AFF3122"/>
    <w:rsid w:val="5BBF60F9"/>
    <w:rsid w:val="5BE05817"/>
    <w:rsid w:val="5C6E4161"/>
    <w:rsid w:val="5CF7DD3F"/>
    <w:rsid w:val="5CFCA482"/>
    <w:rsid w:val="5D2022F0"/>
    <w:rsid w:val="5DD06A41"/>
    <w:rsid w:val="5DF37403"/>
    <w:rsid w:val="5DFF12F5"/>
    <w:rsid w:val="5EDF7D84"/>
    <w:rsid w:val="5EFF6A31"/>
    <w:rsid w:val="5FC80A12"/>
    <w:rsid w:val="5FED340E"/>
    <w:rsid w:val="604C173E"/>
    <w:rsid w:val="60595171"/>
    <w:rsid w:val="619F6D56"/>
    <w:rsid w:val="62045894"/>
    <w:rsid w:val="627379B7"/>
    <w:rsid w:val="6327759B"/>
    <w:rsid w:val="6589166E"/>
    <w:rsid w:val="65FF87BE"/>
    <w:rsid w:val="66AA115E"/>
    <w:rsid w:val="66AB310F"/>
    <w:rsid w:val="671BB36D"/>
    <w:rsid w:val="67E14218"/>
    <w:rsid w:val="69F79EC8"/>
    <w:rsid w:val="6D091B63"/>
    <w:rsid w:val="6D1A65D5"/>
    <w:rsid w:val="6D91009E"/>
    <w:rsid w:val="6DB931BA"/>
    <w:rsid w:val="6DD6E017"/>
    <w:rsid w:val="6DEF65CE"/>
    <w:rsid w:val="6E126504"/>
    <w:rsid w:val="6F0DF96B"/>
    <w:rsid w:val="6F350476"/>
    <w:rsid w:val="6F5B4A3E"/>
    <w:rsid w:val="6FC9500A"/>
    <w:rsid w:val="6FDE8F8E"/>
    <w:rsid w:val="6FF7C3B7"/>
    <w:rsid w:val="702C4AB8"/>
    <w:rsid w:val="70FAC84D"/>
    <w:rsid w:val="7246499A"/>
    <w:rsid w:val="729F7ED2"/>
    <w:rsid w:val="72AD6497"/>
    <w:rsid w:val="72CC6C38"/>
    <w:rsid w:val="72D52CEA"/>
    <w:rsid w:val="72D78224"/>
    <w:rsid w:val="737DA974"/>
    <w:rsid w:val="73FD411D"/>
    <w:rsid w:val="73FE9D56"/>
    <w:rsid w:val="74BD6DA5"/>
    <w:rsid w:val="75BFF961"/>
    <w:rsid w:val="75EF411C"/>
    <w:rsid w:val="764509ED"/>
    <w:rsid w:val="76FA1AE8"/>
    <w:rsid w:val="76FF9A4C"/>
    <w:rsid w:val="776FC7F6"/>
    <w:rsid w:val="77AEA1DE"/>
    <w:rsid w:val="77E86D2A"/>
    <w:rsid w:val="77F752E3"/>
    <w:rsid w:val="77FBBD4A"/>
    <w:rsid w:val="78167920"/>
    <w:rsid w:val="795F2B2C"/>
    <w:rsid w:val="79FF88C3"/>
    <w:rsid w:val="7A9CB2B6"/>
    <w:rsid w:val="7AB2D16E"/>
    <w:rsid w:val="7AEE3707"/>
    <w:rsid w:val="7B62150E"/>
    <w:rsid w:val="7B77FA98"/>
    <w:rsid w:val="7B7B783C"/>
    <w:rsid w:val="7BA7698F"/>
    <w:rsid w:val="7BBEAD23"/>
    <w:rsid w:val="7BD9225B"/>
    <w:rsid w:val="7BDCD132"/>
    <w:rsid w:val="7BF54D36"/>
    <w:rsid w:val="7BFB2C32"/>
    <w:rsid w:val="7BFECBF6"/>
    <w:rsid w:val="7CBB9EA2"/>
    <w:rsid w:val="7CD534E9"/>
    <w:rsid w:val="7D2F0811"/>
    <w:rsid w:val="7DCCA0C2"/>
    <w:rsid w:val="7DDF89C2"/>
    <w:rsid w:val="7DEB98FB"/>
    <w:rsid w:val="7DF9EF19"/>
    <w:rsid w:val="7DFF547A"/>
    <w:rsid w:val="7E6A4978"/>
    <w:rsid w:val="7EDF57DC"/>
    <w:rsid w:val="7EE9318D"/>
    <w:rsid w:val="7EEFC968"/>
    <w:rsid w:val="7EF33E2B"/>
    <w:rsid w:val="7EFDC6F0"/>
    <w:rsid w:val="7EFEE005"/>
    <w:rsid w:val="7F57CC8B"/>
    <w:rsid w:val="7F66FEB0"/>
    <w:rsid w:val="7F7D5004"/>
    <w:rsid w:val="7F9C301D"/>
    <w:rsid w:val="7FB7AAE4"/>
    <w:rsid w:val="7FB8FBE1"/>
    <w:rsid w:val="7FBD974F"/>
    <w:rsid w:val="7FBE0AB1"/>
    <w:rsid w:val="7FCFA68C"/>
    <w:rsid w:val="7FDB9128"/>
    <w:rsid w:val="7FDDEF93"/>
    <w:rsid w:val="7FEF7950"/>
    <w:rsid w:val="7FFC2090"/>
    <w:rsid w:val="7FFEDB21"/>
    <w:rsid w:val="7FFF2C60"/>
    <w:rsid w:val="7FFFF3E1"/>
    <w:rsid w:val="8CBE97B5"/>
    <w:rsid w:val="97F7532B"/>
    <w:rsid w:val="9ABE7312"/>
    <w:rsid w:val="9D5B7A6B"/>
    <w:rsid w:val="9DB4DEFD"/>
    <w:rsid w:val="9F6F9E19"/>
    <w:rsid w:val="9FD1D527"/>
    <w:rsid w:val="ABEB6DC4"/>
    <w:rsid w:val="AE5DD8F2"/>
    <w:rsid w:val="B5F57D8E"/>
    <w:rsid w:val="B6BFEEBE"/>
    <w:rsid w:val="B773FE97"/>
    <w:rsid w:val="B8EE7789"/>
    <w:rsid w:val="BBFFA2AF"/>
    <w:rsid w:val="BDF534D9"/>
    <w:rsid w:val="BEC1F944"/>
    <w:rsid w:val="BEE7E70A"/>
    <w:rsid w:val="BFADC28E"/>
    <w:rsid w:val="BFCF5CAC"/>
    <w:rsid w:val="C6FB6141"/>
    <w:rsid w:val="C6FFABEE"/>
    <w:rsid w:val="CC7778A4"/>
    <w:rsid w:val="CDF92988"/>
    <w:rsid w:val="D3B8A4F1"/>
    <w:rsid w:val="D4E738AB"/>
    <w:rsid w:val="D5376912"/>
    <w:rsid w:val="D5EED74A"/>
    <w:rsid w:val="D7BDDC88"/>
    <w:rsid w:val="D7FE1A65"/>
    <w:rsid w:val="D9FB3461"/>
    <w:rsid w:val="D9FC9585"/>
    <w:rsid w:val="DB7D524F"/>
    <w:rsid w:val="DD9F96AB"/>
    <w:rsid w:val="DEB3147C"/>
    <w:rsid w:val="DEDF5549"/>
    <w:rsid w:val="DF7EBACD"/>
    <w:rsid w:val="DFAF4F09"/>
    <w:rsid w:val="DFAFE6B7"/>
    <w:rsid w:val="DFBF7DD5"/>
    <w:rsid w:val="DFED28EB"/>
    <w:rsid w:val="DFFF2B85"/>
    <w:rsid w:val="E2DED81F"/>
    <w:rsid w:val="E6FF3CB1"/>
    <w:rsid w:val="EA2DBCA3"/>
    <w:rsid w:val="EDEF02B3"/>
    <w:rsid w:val="EDEFDB1F"/>
    <w:rsid w:val="EEDD60A0"/>
    <w:rsid w:val="EEEBAF34"/>
    <w:rsid w:val="EFB72D6D"/>
    <w:rsid w:val="F2F71464"/>
    <w:rsid w:val="F2FF04A2"/>
    <w:rsid w:val="F393D073"/>
    <w:rsid w:val="F46CE660"/>
    <w:rsid w:val="F5AF2652"/>
    <w:rsid w:val="F5DB09C3"/>
    <w:rsid w:val="F5ED5A45"/>
    <w:rsid w:val="F5FF5E50"/>
    <w:rsid w:val="F6FD0BA0"/>
    <w:rsid w:val="F6FD25FE"/>
    <w:rsid w:val="F73F40AF"/>
    <w:rsid w:val="F7D70135"/>
    <w:rsid w:val="F7FF0E62"/>
    <w:rsid w:val="F97F4108"/>
    <w:rsid w:val="F9FFA2F8"/>
    <w:rsid w:val="FB5B3163"/>
    <w:rsid w:val="FB7D8C66"/>
    <w:rsid w:val="FB7DD9E0"/>
    <w:rsid w:val="FBB969E4"/>
    <w:rsid w:val="FBCEFBA4"/>
    <w:rsid w:val="FBEA4498"/>
    <w:rsid w:val="FBFF897F"/>
    <w:rsid w:val="FC7F9263"/>
    <w:rsid w:val="FCCF7B35"/>
    <w:rsid w:val="FD7FF423"/>
    <w:rsid w:val="FD852E10"/>
    <w:rsid w:val="FDC5647D"/>
    <w:rsid w:val="FDDE7CCA"/>
    <w:rsid w:val="FDDF45AC"/>
    <w:rsid w:val="FEFF43FB"/>
    <w:rsid w:val="FEFF4CA7"/>
    <w:rsid w:val="FEFF7BE9"/>
    <w:rsid w:val="FEFFF7D5"/>
    <w:rsid w:val="FF770DE6"/>
    <w:rsid w:val="FF7EF907"/>
    <w:rsid w:val="FF7FE17A"/>
    <w:rsid w:val="FFB34797"/>
    <w:rsid w:val="FFD5CBE3"/>
    <w:rsid w:val="FFDA25F1"/>
    <w:rsid w:val="FFDAB405"/>
    <w:rsid w:val="FFDDDBA9"/>
    <w:rsid w:val="FFE69A19"/>
    <w:rsid w:val="FFE73697"/>
    <w:rsid w:val="FFEEB0FA"/>
    <w:rsid w:val="FFFD0BC5"/>
    <w:rsid w:val="FFFD94AE"/>
    <w:rsid w:val="FFFEFB0E"/>
    <w:rsid w:val="FFFF760F"/>
    <w:rsid w:val="FFFFA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/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ind w:firstLine="880" w:firstLineChars="200"/>
      <w:outlineLvl w:val="1"/>
    </w:pPr>
    <w:rPr>
      <w:rFonts w:ascii="Times New Roman" w:hAnsi="Times New Roman" w:eastAsia="黑体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723" w:firstLineChars="200"/>
    </w:pPr>
    <w:rPr>
      <w:rFonts w:eastAsia="方正仿宋_GBK"/>
      <w:sz w:val="30"/>
    </w:rPr>
  </w:style>
  <w:style w:type="paragraph" w:styleId="3">
    <w:name w:val="Body Text First Indent"/>
    <w:basedOn w:val="2"/>
    <w:next w:val="2"/>
    <w:qFormat/>
    <w:uiPriority w:val="0"/>
    <w:pPr>
      <w:ind w:firstLine="720"/>
    </w:pPr>
  </w:style>
  <w:style w:type="paragraph" w:styleId="6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alloon Text"/>
    <w:basedOn w:val="1"/>
    <w:qFormat/>
    <w:uiPriority w:val="0"/>
    <w:rPr>
      <w:sz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2"/>
    <w:basedOn w:val="1"/>
    <w:next w:val="1"/>
    <w:qFormat/>
    <w:uiPriority w:val="0"/>
    <w:pPr>
      <w:spacing w:beforeLines="0" w:afterLines="0"/>
      <w:ind w:left="420" w:leftChars="200"/>
    </w:pPr>
    <w:rPr>
      <w:rFonts w:hint="eastAsia"/>
      <w:sz w:val="32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Emphasis"/>
    <w:basedOn w:val="15"/>
    <w:qFormat/>
    <w:uiPriority w:val="0"/>
    <w:rPr>
      <w:i/>
    </w:rPr>
  </w:style>
  <w:style w:type="paragraph" w:customStyle="1" w:styleId="17">
    <w:name w:val="样式1"/>
    <w:basedOn w:val="1"/>
    <w:qFormat/>
    <w:uiPriority w:val="0"/>
  </w:style>
  <w:style w:type="paragraph" w:customStyle="1" w:styleId="18">
    <w:name w:val="Body Text First Indent1"/>
    <w:basedOn w:val="2"/>
    <w:qFormat/>
    <w:uiPriority w:val="99"/>
    <w:pPr>
      <w:ind w:firstLine="420" w:firstLineChars="100"/>
    </w:pPr>
    <w:rPr>
      <w:rFonts w:cs="Calibri"/>
      <w:szCs w:val="21"/>
    </w:rPr>
  </w:style>
  <w:style w:type="paragraph" w:customStyle="1" w:styleId="19">
    <w:name w:val="正文."/>
    <w:basedOn w:val="1"/>
    <w:qFormat/>
    <w:uiPriority w:val="0"/>
    <w:pPr>
      <w:spacing w:line="360" w:lineRule="auto"/>
      <w:ind w:firstLine="200" w:firstLineChars="200"/>
    </w:pPr>
    <w:rPr>
      <w:rFonts w:eastAsia="宋体" w:cs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user\Documents\WeChat%20Files\wxid_m1ufcd1u222f11\FileStorage\File\2023-02\2022&#24180;&#38382;&#21367;&#20998;&#26512;&#24635;&#25968;&#25454;&#65288;14267&#26465;&#65289;&#25968;&#25454;&#20998;&#2651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&#24037;&#20316;&#34920;%20&#22312;%20&#38468;&#20214;4&#8220;2022&#24180;&#23567;&#24494;&#20225;&#19994;&#36136;&#37327;&#31649;&#29702;&#20307;&#31995;&#35748;&#35777;&#25552;&#21319;&#34892;&#21160;&#8221;&#31532;&#19977;&#26041;&#27979;&#35780;&#25253;&#21578;0206.doc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'[2022年问卷分析总数据（14267条）数据分析.xlsx]满意度数据分析'!$B$54</c:f>
              <c:strCache>
                <c:ptCount val="1"/>
                <c:pt idx="0">
                  <c:v>满意的方面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'[2022年问卷分析总数据（14267条）数据分析.xlsx]满意度数据分析'!$A$55:$A$61</c:f>
              <c:strCache>
                <c:ptCount val="7"/>
                <c:pt idx="0">
                  <c:v>认证机构专业能力</c:v>
                </c:pt>
                <c:pt idx="1">
                  <c:v>政府服务措施</c:v>
                </c:pt>
                <c:pt idx="2">
                  <c:v>认证机构服务态度</c:v>
                </c:pt>
                <c:pt idx="3">
                  <c:v>宣传培训</c:v>
                </c:pt>
                <c:pt idx="4">
                  <c:v>政府激励引导政策</c:v>
                </c:pt>
                <c:pt idx="5">
                  <c:v>认证机构持续跟踪服务</c:v>
                </c:pt>
                <c:pt idx="6">
                  <c:v>其他</c:v>
                </c:pt>
              </c:strCache>
            </c:strRef>
          </c:cat>
          <c:val>
            <c:numRef>
              <c:f>'[2022年问卷分析总数据（14267条）数据分析.xlsx]满意度数据分析'!$B$55:$B$61</c:f>
              <c:numCache>
                <c:formatCode>0.00%</c:formatCode>
                <c:ptCount val="7"/>
                <c:pt idx="0">
                  <c:v>0.765615962984384</c:v>
                </c:pt>
                <c:pt idx="1">
                  <c:v>0.727443609022556</c:v>
                </c:pt>
                <c:pt idx="2">
                  <c:v>0.692741469057259</c:v>
                </c:pt>
                <c:pt idx="3">
                  <c:v>0.683704453441296</c:v>
                </c:pt>
                <c:pt idx="4">
                  <c:v>0.61082995951417</c:v>
                </c:pt>
                <c:pt idx="5">
                  <c:v>0.325838635049161</c:v>
                </c:pt>
                <c:pt idx="6">
                  <c:v>0.00238577212261423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484451744"/>
        <c:axId val="19448671"/>
      </c:barChart>
      <c:catAx>
        <c:axId val="484451744"/>
        <c:scaling>
          <c:orientation val="minMax"/>
        </c:scaling>
        <c:delete val="false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19448671"/>
        <c:crosses val="autoZero"/>
        <c:auto val="true"/>
        <c:lblAlgn val="ctr"/>
        <c:lblOffset val="100"/>
        <c:noMultiLvlLbl val="false"/>
      </c:catAx>
      <c:valAx>
        <c:axId val="19448671"/>
        <c:scaling>
          <c:orientation val="minMax"/>
        </c:scaling>
        <c:delete val="false"/>
        <c:axPos val="l"/>
        <c:numFmt formatCode="0%" sourceLinked="fals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84451744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>
          <a:solidFill>
            <a:sysClr val="windowText" lastClr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/>
      <c:barChart>
        <c:barDir val="bar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0"/>
              <c:layout>
                <c:manualLayout>
                  <c:x val="-0.0367004543865781"/>
                  <c:y val="0"/>
                </c:manualLayout>
              </c:layout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22.47%, 3206家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>
                    <c:manualLayout>
                      <c:w val="0.221950367004544"/>
                      <c:h val="0.0626560726447219"/>
                    </c:manualLayout>
                  </c15:layout>
                  <c15:dlblFieldTable/>
                  <c15:showDataLabelsRange val="true"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26.83%, 3828家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  <c15:dlblFieldTable/>
                  <c15:xForSave val="true"/>
                  <c15:showDataLabelsRange val="true"/>
                </c:ext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27.48%, 3920家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  <c15:dlblFieldTable/>
                  <c15:xForSave val="true"/>
                  <c15:showDataLabelsRange val="true"/>
                </c:ext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32.41%, 4624家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  <c15:dlblFieldTable/>
                  <c15:xForSave val="true"/>
                  <c15:showDataLabelsRange val="true"/>
                </c:ext>
              </c:extLst>
            </c:dLbl>
            <c:dLbl>
              <c:idx val="4"/>
              <c:layout/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36.15%, 5157家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  <c15:dlblFieldTable/>
                  <c15:xForSave val="true"/>
                  <c15:showDataLabelsRange val="true"/>
                </c:ext>
              </c:extLst>
            </c:dLbl>
            <c:dLbl>
              <c:idx val="5"/>
              <c:layout/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50.36%, 7185家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  <c15:dlblFieldTable/>
                  <c15:xForSave val="true"/>
                  <c15:showDataLabelsRange val="true"/>
                </c:ext>
              </c:extLst>
            </c:dLbl>
            <c:dLbl>
              <c:idx val="6"/>
              <c:layout/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51.02%, 7279家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  <c15:dlblFieldTable/>
                  <c15:xForSave val="true"/>
                  <c15:showDataLabelsRange val="true"/>
                </c:ext>
              </c:extLst>
            </c:dLbl>
            <c:dLbl>
              <c:idx val="7"/>
              <c:layout/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59.68%, 8514家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  <c15:dlblFieldTable/>
                  <c15:xForSave val="true"/>
                  <c15:showDataLabelsRange val="true"/>
                </c:ext>
              </c:extLst>
            </c:dLbl>
            <c:dLbl>
              <c:idx val="8"/>
              <c:layout>
                <c:manualLayout>
                  <c:x val="-0.00454386578119539"/>
                  <c:y val="-0.00340522133938706"/>
                </c:manualLayout>
              </c:layout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62.34%, 8894家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true"/>
                </c:ext>
              </c:extLst>
            </c:dLbl>
            <c:dLbl>
              <c:idx val="9"/>
              <c:layout>
                <c:manualLayout>
                  <c:x val="0"/>
                  <c:y val="-0.0317820658342792"/>
                </c:manualLayout>
              </c:layout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86.02%, 12273家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>
                    <c:manualLayout>
                      <c:w val="0.1744145403705"/>
                      <c:h val="0.0626560726447219"/>
                    </c:manualLayout>
                  </c15:layout>
                  <c15:dlblFieldTable/>
                  <c15:showDataLabelsRange val="true"/>
                </c:ext>
              </c:extLst>
            </c:dLbl>
            <c:dLbl>
              <c:idx val="10"/>
              <c:layout>
                <c:manualLayout>
                  <c:x val="-0.00267971571711523"/>
                  <c:y val="-0.0335691429927345"/>
                </c:manualLayout>
              </c:layout>
              <c:tx>
                <c:rich>
                  <a:bodyPr rot="0" spcFirstLastPara="0" vertOverflow="ellipsis" vert="horz" wrap="square" lIns="38100" tIns="19050" rIns="36195" bIns="19050" anchor="ctr" anchorCtr="true"/>
                  <a:lstStyle/>
                  <a:p>
                    <a:pPr defTabSz="914400">
                      <a:defRPr lang="zh-CN" sz="900" b="0" i="0" u="none" strike="noStrike" kern="1200" cap="none" spc="0" normalizeH="0" baseline="0">
                        <a:solidFill>
                          <a:sysClr val="windowText" lastClr="000000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90.42%, 12900家</a:t>
                    </a:r>
                    <a:endParaRPr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6195" bIns="19050" anchor="ctr" anchorCtr="true"/>
                <a:lstStyle/>
                <a:p>
                  <a:pPr>
                    <a:defRPr lang="zh-CN" sz="900" b="0" i="0" u="none" strike="noStrike" kern="1200" cap="none" spc="0" normalizeH="0" baseline="0">
                      <a:solidFill>
                        <a:sysClr val="windowText" lastClr="000000"/>
                      </a:solidFill>
                      <a:uFill>
                        <a:solidFill>
                          <a:schemeClr val="tx1"/>
                        </a:solidFill>
                      </a:u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true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6195" bIns="19050" anchor="ctr" anchorCtr="true">
                <a:noAutofit/>
              </a:bodyPr>
              <a:lstStyle/>
              <a:p>
                <a:pPr>
                  <a:defRPr lang="zh-CN" sz="900" b="0" i="0" u="none" strike="noStrike" kern="1200" cap="none" spc="0" normalizeH="0" baseline="0">
                    <a:solidFill>
                      <a:sysClr val="windowText" lastClr="000000"/>
                    </a:solidFill>
                    <a:uFill>
                      <a:solidFill>
                        <a:schemeClr val="tx1"/>
                      </a:solidFill>
                    </a:u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DataLabelsRange val="true"/>
                <c15:showLeaderLines val="fals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[01f21d2a1]小项!$A$14:$A$24</c:f>
              <c:strCache>
                <c:ptCount val="11"/>
                <c:pt idx="0">
                  <c:v>数字化、智能化水平提升</c:v>
                </c:pt>
                <c:pt idx="1">
                  <c:v>市场信用增加</c:v>
                </c:pt>
                <c:pt idx="2">
                  <c:v>成本下降</c:v>
                </c:pt>
                <c:pt idx="3">
                  <c:v>经营业绩提升</c:v>
                </c:pt>
                <c:pt idx="4">
                  <c:v>创新能力提升</c:v>
                </c:pt>
                <c:pt idx="5">
                  <c:v>客户满意度提升</c:v>
                </c:pt>
                <c:pt idx="6">
                  <c:v>产品质量水平提升</c:v>
                </c:pt>
                <c:pt idx="7">
                  <c:v>工艺流程更加优化</c:v>
                </c:pt>
                <c:pt idx="8">
                  <c:v>工作环境更加整洁安全</c:v>
                </c:pt>
                <c:pt idx="9">
                  <c:v>管理制度更加规范完善</c:v>
                </c:pt>
                <c:pt idx="10">
                  <c:v>质量意识提升</c:v>
                </c:pt>
              </c:strCache>
            </c:strRef>
          </c:cat>
          <c:val>
            <c:numRef>
              <c:f>[01f21d2a1]小项!$B$14:$B$24</c:f>
              <c:numCache>
                <c:formatCode>General</c:formatCode>
                <c:ptCount val="11"/>
                <c:pt idx="0">
                  <c:v>3206</c:v>
                </c:pt>
                <c:pt idx="1">
                  <c:v>3828</c:v>
                </c:pt>
                <c:pt idx="2">
                  <c:v>3920</c:v>
                </c:pt>
                <c:pt idx="3">
                  <c:v>4624</c:v>
                </c:pt>
                <c:pt idx="4">
                  <c:v>5157</c:v>
                </c:pt>
                <c:pt idx="5">
                  <c:v>7185</c:v>
                </c:pt>
                <c:pt idx="6">
                  <c:v>7279</c:v>
                </c:pt>
                <c:pt idx="7">
                  <c:v>8514</c:v>
                </c:pt>
                <c:pt idx="8">
                  <c:v>8894</c:v>
                </c:pt>
                <c:pt idx="9">
                  <c:v>12273</c:v>
                </c:pt>
                <c:pt idx="10">
                  <c:v>12900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小项!$C$2:$C$12</c15:f>
                <c15:dlblRangeCache>
                  <c:ptCount val="11"/>
                  <c:pt idx="0">
                    <c:v>22.47%</c:v>
                  </c:pt>
                  <c:pt idx="1">
                    <c:v>26.83%</c:v>
                  </c:pt>
                  <c:pt idx="2">
                    <c:v>27.48%</c:v>
                  </c:pt>
                  <c:pt idx="3">
                    <c:v>32.41%</c:v>
                  </c:pt>
                  <c:pt idx="4">
                    <c:v>36.15%</c:v>
                  </c:pt>
                  <c:pt idx="5">
                    <c:v>50.36%</c:v>
                  </c:pt>
                  <c:pt idx="6">
                    <c:v>51.02%</c:v>
                  </c:pt>
                  <c:pt idx="7">
                    <c:v>59.68%</c:v>
                  </c:pt>
                  <c:pt idx="8">
                    <c:v>62.34%</c:v>
                  </c:pt>
                  <c:pt idx="9">
                    <c:v>86.02%</c:v>
                  </c:pt>
                  <c:pt idx="10">
                    <c:v>90.42%</c:v>
                  </c:pt>
                </c15:dlblRangeCache>
              </c15:datalabelsRange>
            </c:ext>
          </c:extLst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182"/>
        <c:axId val="752605938"/>
        <c:axId val="639278533"/>
      </c:barChart>
      <c:catAx>
        <c:axId val="752605938"/>
        <c:scaling>
          <c:orientation val="minMax"/>
        </c:scaling>
        <c:delete val="false"/>
        <c:axPos val="l"/>
        <c:numFmt formatCode="General" sourceLinked="false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cap="none" spc="0" normalizeH="0" baseline="0">
                <a:solidFill>
                  <a:sysClr val="windowText" lastClr="000000"/>
                </a:solidFill>
                <a:uFill>
                  <a:solidFill>
                    <a:schemeClr val="tx1"/>
                  </a:solidFill>
                </a:u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39278533"/>
        <c:crosses val="autoZero"/>
        <c:auto val="true"/>
        <c:lblAlgn val="ctr"/>
        <c:lblOffset val="100"/>
        <c:noMultiLvlLbl val="false"/>
      </c:catAx>
      <c:valAx>
        <c:axId val="639278533"/>
        <c:scaling>
          <c:orientation val="minMax"/>
        </c:scaling>
        <c:delete val="false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true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cap="none" spc="0" normalizeH="0" baseline="0">
                <a:solidFill>
                  <a:sysClr val="windowText" lastClr="000000"/>
                </a:solidFill>
                <a:uFill>
                  <a:solidFill>
                    <a:schemeClr val="tx1"/>
                  </a:solidFill>
                </a:u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52605938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u="none" strike="noStrike" kern="1200" cap="none" spc="0" normalizeH="0">
          <a:solidFill>
            <a:sysClr val="windowText" lastClr="000000"/>
          </a:solidFill>
          <a:uFill>
            <a:solidFill>
              <a:schemeClr val="tx1"/>
            </a:solidFill>
          </a:u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7303</Words>
  <Characters>7552</Characters>
  <Lines>0</Lines>
  <Paragraphs>0</Paragraphs>
  <TotalTime>7</TotalTime>
  <ScaleCrop>false</ScaleCrop>
  <LinksUpToDate>false</LinksUpToDate>
  <CharactersWithSpaces>7566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2023-03-02T09:00:00Z</dcterms:created>
  <dc:creator>席倩倩</dc:creator>
  <cp:lastModifiedBy>oa</cp:lastModifiedBy>
  <dcterms:modified xsi:type="dcterms:W3CDTF">2023-04-23T09:32:06Z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8AB08F8D8736033F65643764097D9153</vt:lpwstr>
  </property>
</Properties>
</file>