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7E6E6"/>
  <w:body>
    <w:p>
      <w:pPr>
        <w:keepNext w:val="0"/>
        <w:keepLines w:val="0"/>
        <w:pageBreakBefore w:val="0"/>
        <w:widowControl w:val="0"/>
        <w:tabs>
          <w:tab w:val="left" w:pos="7371"/>
        </w:tabs>
        <w:kinsoku/>
        <w:wordWrap/>
        <w:overflowPunct w:val="0"/>
        <w:topLinePunct w:val="0"/>
        <w:autoSpaceDE/>
        <w:autoSpaceDN/>
        <w:bidi w:val="0"/>
        <w:spacing w:line="594" w:lineRule="exact"/>
        <w:textAlignment w:val="auto"/>
        <w:rPr>
          <w:rFonts w:hint="eastAsia" w:ascii="黑体" w:hAnsi="黑体" w:eastAsia="黑体"/>
          <w:b w:val="0"/>
          <w:bCs w:val="0"/>
          <w:sz w:val="32"/>
          <w:szCs w:val="32"/>
        </w:rPr>
      </w:pPr>
      <w:bookmarkStart w:id="1" w:name="_GoBack"/>
      <w:bookmarkEnd w:id="1"/>
      <w:r>
        <w:rPr>
          <w:rFonts w:ascii="黑体" w:hAnsi="黑体" w:eastAsia="黑体"/>
          <w:b w:val="0"/>
          <w:bCs w:val="0"/>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15240</wp:posOffset>
                </wp:positionV>
                <wp:extent cx="5734050" cy="0"/>
                <wp:effectExtent l="0" t="0" r="0" b="0"/>
                <wp:wrapNone/>
                <wp:docPr id="1" name="直线 2"/>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a:noFill/>
                        </a:ln>
                        <a:effectLst/>
                      </wps:spPr>
                      <wps:bodyPr/>
                    </wps:wsp>
                  </a:graphicData>
                </a:graphic>
              </wp:anchor>
            </w:drawing>
          </mc:Choice>
          <mc:Fallback>
            <w:pict>
              <v:line id="直线 2" o:spid="_x0000_s1026" o:spt="20" style="position:absolute;left:0pt;margin-left:0pt;margin-top:1.2pt;height:0pt;width:451.5pt;z-index:251658240;mso-width-relative:page;mso-height-relative:page;" filled="f" stroked="f" coordsize="21600,21600" o:gfxdata="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lsxo9MAAAAEAQAADwAAAAAAAAABACAAAAAi&#10;AAAAZHJzL2Rvd25yZXYueG1sUEsBAhQAFAAAAAgAh07iQAmJMzadAQAAJQMAAA4AAAAAAAAAAQAg&#10;AAAAIgEAAGRycy9lMm9Eb2MueG1sUEsFBgAAAAAGAAYAWQEAADEFAAAAAA==&#10;">
                <v:fill on="f" focussize="0,0"/>
                <v:stroke on="f"/>
                <v:imagedata o:title=""/>
                <o:lock v:ext="edit" aspectratio="f"/>
              </v:line>
            </w:pict>
          </mc:Fallback>
        </mc:AlternateContent>
      </w:r>
      <w:r>
        <w:rPr>
          <w:rFonts w:hint="eastAsia" w:ascii="黑体" w:hAnsi="黑体" w:eastAsia="黑体"/>
          <w:b w:val="0"/>
          <w:bCs w:val="0"/>
          <w:sz w:val="32"/>
          <w:szCs w:val="32"/>
        </w:rPr>
        <w:t>附</w:t>
      </w:r>
      <w:r>
        <w:rPr>
          <w:rFonts w:hint="eastAsia" w:ascii="黑体" w:hAnsi="黑体" w:eastAsia="黑体"/>
          <w:b w:val="0"/>
          <w:bCs w:val="0"/>
          <w:sz w:val="32"/>
          <w:szCs w:val="32"/>
          <w:lang w:eastAsia="zh-CN"/>
        </w:rPr>
        <w:t>件</w:t>
      </w:r>
      <w:r>
        <w:rPr>
          <w:rFonts w:hint="eastAsia" w:ascii="黑体" w:hAnsi="黑体" w:eastAsia="黑体"/>
          <w:b w:val="0"/>
          <w:bCs w:val="0"/>
          <w:sz w:val="32"/>
          <w:szCs w:val="32"/>
        </w:rPr>
        <w:t>3</w:t>
      </w:r>
    </w:p>
    <w:p>
      <w:pPr>
        <w:keepNext w:val="0"/>
        <w:keepLines w:val="0"/>
        <w:pageBreakBefore w:val="0"/>
        <w:widowControl w:val="0"/>
        <w:tabs>
          <w:tab w:val="left" w:pos="7371"/>
        </w:tabs>
        <w:kinsoku/>
        <w:wordWrap/>
        <w:overflowPunct w:val="0"/>
        <w:topLinePunct w:val="0"/>
        <w:autoSpaceDE/>
        <w:autoSpaceDN/>
        <w:bidi w:val="0"/>
        <w:spacing w:line="594" w:lineRule="exact"/>
        <w:textAlignment w:val="auto"/>
        <w:rPr>
          <w:rFonts w:hint="eastAsia" w:ascii="黑体" w:hAnsi="黑体" w:eastAsia="黑体"/>
          <w:b w:val="0"/>
          <w:bCs w:val="0"/>
          <w:sz w:val="32"/>
          <w:szCs w:val="32"/>
        </w:rPr>
      </w:pPr>
    </w:p>
    <w:p>
      <w:pPr>
        <w:pStyle w:val="8"/>
        <w:keepNext w:val="0"/>
        <w:keepLines w:val="0"/>
        <w:pageBreakBefore w:val="0"/>
        <w:widowControl w:val="0"/>
        <w:kinsoku/>
        <w:wordWrap/>
        <w:overflowPunct w:val="0"/>
        <w:topLinePunct w:val="0"/>
        <w:autoSpaceDE/>
        <w:autoSpaceDN/>
        <w:bidi w:val="0"/>
        <w:spacing w:before="0" w:after="0" w:line="594" w:lineRule="exact"/>
        <w:textAlignment w:val="auto"/>
        <w:rPr>
          <w:rFonts w:ascii="方正小标宋简体" w:hAnsi="方正小标宋_GBK" w:eastAsia="方正小标宋简体"/>
          <w:b w:val="0"/>
          <w:sz w:val="44"/>
          <w:szCs w:val="44"/>
        </w:rPr>
      </w:pPr>
      <w:r>
        <w:rPr>
          <w:rFonts w:hint="eastAsia" w:ascii="方正小标宋简体" w:hAnsi="方正小标宋_GBK" w:eastAsia="方正小标宋简体"/>
          <w:b w:val="0"/>
          <w:sz w:val="44"/>
          <w:szCs w:val="44"/>
        </w:rPr>
        <w:t>认证机构资质审批告知承诺管理规定</w:t>
      </w:r>
    </w:p>
    <w:p>
      <w:pPr>
        <w:pStyle w:val="8"/>
        <w:keepNext w:val="0"/>
        <w:keepLines w:val="0"/>
        <w:pageBreakBefore w:val="0"/>
        <w:widowControl w:val="0"/>
        <w:kinsoku/>
        <w:wordWrap/>
        <w:overflowPunct w:val="0"/>
        <w:topLinePunct w:val="0"/>
        <w:autoSpaceDE/>
        <w:autoSpaceDN/>
        <w:bidi w:val="0"/>
        <w:spacing w:before="0" w:after="0" w:line="594" w:lineRule="exact"/>
        <w:textAlignment w:val="auto"/>
        <w:rPr>
          <w:rFonts w:ascii="方正楷体简体" w:hAnsi="黑体" w:eastAsia="方正楷体简体"/>
          <w:b w:val="0"/>
        </w:rPr>
      </w:pPr>
    </w:p>
    <w:p>
      <w:pPr>
        <w:keepNext w:val="0"/>
        <w:keepLines w:val="0"/>
        <w:pageBreakBefore w:val="0"/>
        <w:widowControl w:val="0"/>
        <w:kinsoku/>
        <w:wordWrap/>
        <w:overflowPunct w:val="0"/>
        <w:topLinePunct w:val="0"/>
        <w:autoSpaceDE/>
        <w:autoSpaceDN/>
        <w:bidi w:val="0"/>
        <w:adjustRightInd w:val="0"/>
        <w:snapToGrid w:val="0"/>
        <w:spacing w:line="594" w:lineRule="exact"/>
        <w:textAlignment w:val="auto"/>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 xml:space="preserve">  </w:t>
      </w:r>
      <w:r>
        <w:rPr>
          <w:rFonts w:hint="eastAsia" w:ascii="仿宋_GB2312" w:hAnsi="宋体" w:eastAsia="仿宋_GB2312" w:cs="宋体"/>
          <w:color w:val="000000"/>
          <w:kern w:val="0"/>
          <w:sz w:val="32"/>
          <w:szCs w:val="32"/>
        </w:rPr>
        <w:t xml:space="preserve"> </w:t>
      </w:r>
      <w:r>
        <w:rPr>
          <w:rFonts w:hint="eastAsia" w:ascii="黑体" w:hAnsi="黑体" w:eastAsia="黑体" w:cs="宋体"/>
          <w:color w:val="000000"/>
          <w:kern w:val="0"/>
          <w:sz w:val="32"/>
          <w:szCs w:val="32"/>
        </w:rPr>
        <w:t xml:space="preserve"> 第一条</w:t>
      </w:r>
      <w:r>
        <w:rPr>
          <w:rFonts w:hint="eastAsia" w:ascii="仿宋_GB2312" w:hAnsi="宋体" w:eastAsia="仿宋_GB2312" w:cs="宋体"/>
          <w:color w:val="000000"/>
          <w:kern w:val="0"/>
          <w:sz w:val="32"/>
          <w:szCs w:val="32"/>
        </w:rPr>
        <w:t xml:space="preserve"> 为进一步简政放权、优化认证市场营商环境，完善认证机构资质审批方式，提高效率，制定本规定。 </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 xml:space="preserve">第二条 </w:t>
      </w:r>
      <w:r>
        <w:rPr>
          <w:rFonts w:hint="eastAsia" w:ascii="仿宋_GB2312" w:hAnsi="宋体" w:eastAsia="仿宋_GB2312" w:cs="宋体"/>
          <w:color w:val="000000"/>
          <w:kern w:val="0"/>
          <w:sz w:val="32"/>
          <w:szCs w:val="32"/>
        </w:rPr>
        <w:t>本办法所称告知承诺，是指国家市场监督管理总局（以下</w:t>
      </w:r>
      <w:r>
        <w:rPr>
          <w:rFonts w:ascii="仿宋_GB2312" w:hAnsi="宋体" w:eastAsia="仿宋_GB2312" w:cs="宋体"/>
          <w:color w:val="000000"/>
          <w:kern w:val="0"/>
          <w:sz w:val="32"/>
          <w:szCs w:val="32"/>
        </w:rPr>
        <w:t>称资质审批部门</w:t>
      </w:r>
      <w:r>
        <w:rPr>
          <w:rFonts w:hint="eastAsia" w:ascii="仿宋_GB2312" w:hAnsi="宋体" w:eastAsia="仿宋_GB2312" w:cs="宋体"/>
          <w:color w:val="000000"/>
          <w:kern w:val="0"/>
          <w:sz w:val="32"/>
          <w:szCs w:val="32"/>
        </w:rPr>
        <w:t>）一次性告知所需条件和要求以及提交的材料，申请机构以书面形式承诺其符合条件和要求并</w:t>
      </w:r>
      <w:r>
        <w:rPr>
          <w:rFonts w:ascii="仿宋_GB2312" w:hAnsi="宋体" w:eastAsia="仿宋_GB2312" w:cs="宋体"/>
          <w:color w:val="000000"/>
          <w:kern w:val="0"/>
          <w:sz w:val="32"/>
          <w:szCs w:val="32"/>
        </w:rPr>
        <w:t>提交相关材料</w:t>
      </w:r>
      <w:r>
        <w:rPr>
          <w:rFonts w:hint="eastAsia" w:ascii="仿宋_GB2312" w:hAnsi="宋体" w:eastAsia="仿宋_GB2312" w:cs="宋体"/>
          <w:color w:val="000000"/>
          <w:kern w:val="0"/>
          <w:sz w:val="32"/>
          <w:szCs w:val="32"/>
        </w:rPr>
        <w:t>，由资质审批部门作出决定的方式。</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Arial" w:eastAsia="仿宋_GB2312" w:cs="Arial"/>
          <w:b/>
          <w:color w:val="333333"/>
          <w:sz w:val="32"/>
          <w:szCs w:val="32"/>
        </w:rPr>
      </w:pPr>
      <w:r>
        <w:rPr>
          <w:rFonts w:hint="eastAsia" w:ascii="黑体" w:hAnsi="黑体" w:eastAsia="黑体" w:cs="宋体"/>
          <w:color w:val="000000"/>
          <w:kern w:val="0"/>
          <w:sz w:val="32"/>
          <w:szCs w:val="32"/>
        </w:rPr>
        <w:t xml:space="preserve">第三条 </w:t>
      </w:r>
      <w:r>
        <w:rPr>
          <w:rFonts w:hint="eastAsia" w:ascii="仿宋_GB2312" w:hAnsi="宋体" w:eastAsia="仿宋_GB2312" w:cs="宋体"/>
          <w:color w:val="000000"/>
          <w:kern w:val="0"/>
          <w:sz w:val="32"/>
          <w:szCs w:val="32"/>
        </w:rPr>
        <w:t>法</w:t>
      </w:r>
      <w:r>
        <w:rPr>
          <w:rFonts w:hint="eastAsia" w:ascii="仿宋_GB2312" w:hAnsi="宋体" w:eastAsia="仿宋_GB2312" w:cs="宋体"/>
          <w:color w:val="000000"/>
          <w:spacing w:val="-6"/>
          <w:kern w:val="0"/>
          <w:sz w:val="32"/>
          <w:szCs w:val="32"/>
        </w:rPr>
        <w:t>人</w:t>
      </w:r>
      <w:r>
        <w:rPr>
          <w:rFonts w:ascii="仿宋_GB2312" w:hAnsi="宋体" w:eastAsia="仿宋_GB2312" w:cs="宋体"/>
          <w:color w:val="000000"/>
          <w:spacing w:val="-6"/>
          <w:kern w:val="0"/>
          <w:sz w:val="32"/>
          <w:szCs w:val="32"/>
        </w:rPr>
        <w:t>组织申请</w:t>
      </w:r>
      <w:r>
        <w:rPr>
          <w:rFonts w:hint="eastAsia" w:ascii="仿宋_GB2312" w:hAnsi="宋体" w:eastAsia="仿宋_GB2312" w:cs="宋体"/>
          <w:color w:val="000000"/>
          <w:spacing w:val="-6"/>
          <w:kern w:val="0"/>
          <w:sz w:val="32"/>
          <w:szCs w:val="32"/>
        </w:rPr>
        <w:t>属于告知</w:t>
      </w:r>
      <w:r>
        <w:rPr>
          <w:rFonts w:ascii="仿宋_GB2312" w:hAnsi="宋体" w:eastAsia="仿宋_GB2312" w:cs="宋体"/>
          <w:color w:val="000000"/>
          <w:spacing w:val="-6"/>
          <w:kern w:val="0"/>
          <w:sz w:val="32"/>
          <w:szCs w:val="32"/>
        </w:rPr>
        <w:t>承诺的认证领域</w:t>
      </w:r>
      <w:r>
        <w:rPr>
          <w:rFonts w:hint="eastAsia" w:ascii="仿宋_GB2312" w:hAnsi="宋体" w:eastAsia="仿宋_GB2312" w:cs="宋体"/>
          <w:color w:val="000000"/>
          <w:spacing w:val="-6"/>
          <w:kern w:val="0"/>
          <w:sz w:val="32"/>
          <w:szCs w:val="32"/>
        </w:rPr>
        <w:t>的</w:t>
      </w:r>
      <w:r>
        <w:rPr>
          <w:rFonts w:ascii="仿宋_GB2312" w:hAnsi="宋体" w:eastAsia="仿宋_GB2312" w:cs="宋体"/>
          <w:color w:val="000000"/>
          <w:spacing w:val="-6"/>
          <w:kern w:val="0"/>
          <w:sz w:val="32"/>
          <w:szCs w:val="32"/>
        </w:rPr>
        <w:t>认证机构资质时</w:t>
      </w:r>
      <w:r>
        <w:rPr>
          <w:rFonts w:hint="eastAsia" w:ascii="仿宋_GB2312" w:hAnsi="宋体" w:eastAsia="仿宋_GB2312" w:cs="宋体"/>
          <w:color w:val="000000"/>
          <w:spacing w:val="-6"/>
          <w:kern w:val="0"/>
          <w:sz w:val="32"/>
          <w:szCs w:val="32"/>
        </w:rPr>
        <w:t>，</w:t>
      </w:r>
      <w:r>
        <w:rPr>
          <w:rFonts w:ascii="仿宋_GB2312" w:hAnsi="宋体" w:eastAsia="仿宋_GB2312" w:cs="宋体"/>
          <w:color w:val="000000"/>
          <w:spacing w:val="-6"/>
          <w:kern w:val="0"/>
          <w:sz w:val="32"/>
          <w:szCs w:val="32"/>
        </w:rPr>
        <w:t>适用本规定。</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 xml:space="preserve">第四条 </w:t>
      </w:r>
      <w:r>
        <w:rPr>
          <w:rFonts w:hint="eastAsia" w:ascii="仿宋_GB2312" w:hAnsi="宋体" w:eastAsia="仿宋_GB2312" w:cs="宋体"/>
          <w:color w:val="000000"/>
          <w:kern w:val="0"/>
          <w:sz w:val="32"/>
          <w:szCs w:val="32"/>
        </w:rPr>
        <w:t>资质审批</w:t>
      </w:r>
      <w:r>
        <w:rPr>
          <w:rFonts w:ascii="仿宋_GB2312" w:hAnsi="宋体" w:eastAsia="仿宋_GB2312" w:cs="宋体"/>
          <w:color w:val="000000"/>
          <w:kern w:val="0"/>
          <w:sz w:val="32"/>
          <w:szCs w:val="32"/>
        </w:rPr>
        <w:t>部门</w:t>
      </w:r>
      <w:r>
        <w:rPr>
          <w:rFonts w:hint="eastAsia" w:ascii="仿宋_GB2312" w:hAnsi="宋体" w:eastAsia="仿宋_GB2312" w:cs="宋体"/>
          <w:color w:val="000000"/>
          <w:kern w:val="0"/>
          <w:sz w:val="32"/>
          <w:szCs w:val="32"/>
        </w:rPr>
        <w:t>负责告知承诺统一管理、组织实施、后续核查等工作。</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eastAsia="仿宋_GB2312" w:cs="宋体"/>
          <w:color w:val="000000"/>
          <w:kern w:val="0"/>
          <w:sz w:val="32"/>
          <w:szCs w:val="32"/>
        </w:rPr>
      </w:pPr>
      <w:r>
        <w:rPr>
          <w:rFonts w:hint="eastAsia" w:ascii="黑体" w:hAnsi="黑体" w:eastAsia="黑体" w:cs="宋体"/>
          <w:color w:val="000000"/>
          <w:kern w:val="0"/>
          <w:sz w:val="32"/>
          <w:szCs w:val="32"/>
        </w:rPr>
        <w:t xml:space="preserve">第五条 </w:t>
      </w:r>
      <w:r>
        <w:rPr>
          <w:rFonts w:hint="eastAsia" w:ascii="仿宋_GB2312" w:eastAsia="仿宋_GB2312" w:cs="宋体"/>
          <w:color w:val="000000"/>
          <w:kern w:val="0"/>
          <w:sz w:val="32"/>
          <w:szCs w:val="32"/>
        </w:rPr>
        <w:t>对实行告知承诺的事项，资质审批部门应当向申请机构告知下列内容：</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45"/>
        <w:textAlignment w:val="auto"/>
        <w:rPr>
          <w:rFonts w:ascii="仿宋_GB2312" w:eastAsia="仿宋_GB2312" w:cs="宋体"/>
          <w:color w:val="000000"/>
          <w:kern w:val="0"/>
          <w:sz w:val="32"/>
          <w:szCs w:val="32"/>
        </w:rPr>
      </w:pPr>
      <w:r>
        <w:rPr>
          <w:rFonts w:hint="eastAsia" w:ascii="仿宋_GB2312" w:eastAsia="仿宋_GB2312" w:cs="宋体"/>
          <w:color w:val="000000"/>
          <w:kern w:val="0"/>
          <w:sz w:val="32"/>
          <w:szCs w:val="32"/>
        </w:rPr>
        <w:t>（一）资质审批事项所依据的主要法律、法规、规章的名称和相关条款；</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45"/>
        <w:textAlignment w:val="auto"/>
        <w:rPr>
          <w:rFonts w:ascii="仿宋_GB2312" w:eastAsia="仿宋_GB2312" w:cs="宋体"/>
          <w:color w:val="000000"/>
          <w:kern w:val="0"/>
          <w:sz w:val="32"/>
          <w:szCs w:val="32"/>
        </w:rPr>
      </w:pPr>
      <w:r>
        <w:rPr>
          <w:rFonts w:hint="eastAsia" w:ascii="仿宋_GB2312" w:eastAsia="仿宋_GB2312" w:cs="宋体"/>
          <w:color w:val="000000"/>
          <w:kern w:val="0"/>
          <w:sz w:val="32"/>
          <w:szCs w:val="32"/>
        </w:rPr>
        <w:t>（二）申请认证机构资质应当具备的条件和能力要求；</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45"/>
        <w:textAlignment w:val="auto"/>
        <w:rPr>
          <w:rFonts w:ascii="仿宋_GB2312" w:eastAsia="仿宋_GB2312" w:cs="宋体"/>
          <w:color w:val="000000"/>
          <w:kern w:val="0"/>
          <w:sz w:val="32"/>
          <w:szCs w:val="32"/>
        </w:rPr>
      </w:pPr>
      <w:r>
        <w:rPr>
          <w:rFonts w:hint="eastAsia" w:ascii="仿宋_GB2312" w:eastAsia="仿宋_GB2312" w:cs="宋体"/>
          <w:color w:val="000000"/>
          <w:kern w:val="0"/>
          <w:sz w:val="32"/>
          <w:szCs w:val="32"/>
        </w:rPr>
        <w:t>（三）需要提交的相关材料；</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45"/>
        <w:textAlignment w:val="auto"/>
        <w:rPr>
          <w:rFonts w:ascii="仿宋_GB2312" w:eastAsia="仿宋_GB2312" w:cs="宋体"/>
          <w:color w:val="000000"/>
          <w:kern w:val="0"/>
          <w:sz w:val="32"/>
          <w:szCs w:val="32"/>
        </w:rPr>
      </w:pPr>
      <w:r>
        <w:rPr>
          <w:rFonts w:hint="eastAsia" w:ascii="仿宋_GB2312" w:eastAsia="仿宋_GB2312" w:cs="宋体"/>
          <w:color w:val="000000"/>
          <w:kern w:val="0"/>
          <w:sz w:val="32"/>
          <w:szCs w:val="32"/>
        </w:rPr>
        <w:t>（四）申请机构作出承诺的法律效力以及作出不实承诺和违反承诺的法律后果。</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 xml:space="preserve">第六条 </w:t>
      </w:r>
      <w:r>
        <w:rPr>
          <w:rFonts w:hint="eastAsia" w:ascii="仿宋_GB2312" w:hAnsi="宋体" w:eastAsia="仿宋_GB2312" w:cs="宋体"/>
          <w:color w:val="000000"/>
          <w:kern w:val="0"/>
          <w:sz w:val="32"/>
          <w:szCs w:val="32"/>
        </w:rPr>
        <w:t>申请机构愿意作出承诺的，应当对下列内容作出承诺：</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（一）所填写的相关信息真实、准确；</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（二）已经知悉资质审批部门告知的全部内容；</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（三）能</w:t>
      </w:r>
      <w:r>
        <w:rPr>
          <w:rFonts w:hint="eastAsia" w:ascii="仿宋_GB2312" w:hAnsi="宋体" w:eastAsia="仿宋_GB2312" w:cs="宋体"/>
          <w:color w:val="000000"/>
          <w:spacing w:val="-8"/>
          <w:kern w:val="0"/>
          <w:sz w:val="32"/>
          <w:szCs w:val="32"/>
        </w:rPr>
        <w:t>够持续符合告知的条件和能力要求，并可随时接受核查；</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45"/>
        <w:textAlignment w:val="auto"/>
        <w:rPr>
          <w:rFonts w:ascii="仿宋_GB2312" w:eastAsia="仿宋_GB2312" w:cs="宋体"/>
          <w:color w:val="000000"/>
          <w:kern w:val="0"/>
          <w:sz w:val="32"/>
          <w:szCs w:val="32"/>
        </w:rPr>
      </w:pPr>
      <w:r>
        <w:rPr>
          <w:rFonts w:hint="eastAsia" w:ascii="仿宋_GB2312" w:eastAsia="仿宋_GB2312" w:cs="宋体"/>
          <w:color w:val="000000"/>
          <w:kern w:val="0"/>
          <w:sz w:val="32"/>
          <w:szCs w:val="32"/>
        </w:rPr>
        <w:t>（四）能够提交资质审批部门告知的相关材料；</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45"/>
        <w:textAlignment w:val="auto"/>
        <w:rPr>
          <w:rFonts w:ascii="仿宋_GB2312" w:eastAsia="仿宋_GB2312" w:cs="宋体"/>
          <w:color w:val="000000"/>
          <w:kern w:val="0"/>
          <w:sz w:val="32"/>
          <w:szCs w:val="32"/>
        </w:rPr>
      </w:pPr>
      <w:r>
        <w:rPr>
          <w:rFonts w:hint="eastAsia" w:ascii="仿宋_GB2312" w:eastAsia="仿宋_GB2312" w:cs="宋体"/>
          <w:color w:val="000000"/>
          <w:kern w:val="0"/>
          <w:sz w:val="32"/>
          <w:szCs w:val="32"/>
        </w:rPr>
        <w:t>（五）愿意承担不实承诺、违反承诺所引发的相应法律责任；</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45"/>
        <w:textAlignment w:val="auto"/>
        <w:rPr>
          <w:rFonts w:ascii="仿宋_GB2312" w:eastAsia="仿宋_GB2312" w:cs="宋体"/>
          <w:color w:val="000000"/>
          <w:kern w:val="0"/>
          <w:sz w:val="32"/>
          <w:szCs w:val="32"/>
        </w:rPr>
      </w:pPr>
      <w:r>
        <w:rPr>
          <w:rFonts w:hint="eastAsia" w:ascii="仿宋_GB2312" w:eastAsia="仿宋_GB2312" w:cs="宋体"/>
          <w:color w:val="000000"/>
          <w:kern w:val="0"/>
          <w:sz w:val="32"/>
          <w:szCs w:val="32"/>
        </w:rPr>
        <w:t>（六）所作承诺是本机构的真实意思表示。</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eastAsia="仿宋_GB2312" w:cs="宋体"/>
          <w:color w:val="000000"/>
          <w:kern w:val="0"/>
          <w:sz w:val="32"/>
          <w:szCs w:val="32"/>
        </w:rPr>
      </w:pPr>
      <w:r>
        <w:rPr>
          <w:rFonts w:hint="eastAsia" w:ascii="黑体" w:hAnsi="黑体" w:eastAsia="黑体" w:cs="宋体"/>
          <w:color w:val="000000"/>
          <w:kern w:val="0"/>
          <w:sz w:val="32"/>
          <w:szCs w:val="32"/>
        </w:rPr>
        <w:t xml:space="preserve">第七条 </w:t>
      </w:r>
      <w:r>
        <w:rPr>
          <w:rFonts w:hint="eastAsia" w:ascii="仿宋_GB2312" w:eastAsia="仿宋_GB2312" w:cs="宋体"/>
          <w:color w:val="000000"/>
          <w:kern w:val="0"/>
          <w:sz w:val="32"/>
          <w:szCs w:val="32"/>
        </w:rPr>
        <w:t>对实行告知承诺的事项，应当由资质审批部门提供告知承诺书，告知承诺书文本式样见附件。</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eastAsia="仿宋_GB2312" w:cs="宋体"/>
          <w:color w:val="000000"/>
          <w:kern w:val="0"/>
          <w:sz w:val="32"/>
          <w:szCs w:val="32"/>
        </w:rPr>
      </w:pPr>
      <w:r>
        <w:rPr>
          <w:rFonts w:hint="eastAsia" w:ascii="黑体" w:hAnsi="黑体" w:eastAsia="黑体" w:cs="宋体"/>
          <w:color w:val="000000"/>
          <w:kern w:val="0"/>
          <w:sz w:val="32"/>
          <w:szCs w:val="32"/>
        </w:rPr>
        <w:t xml:space="preserve">第八条 </w:t>
      </w:r>
      <w:r>
        <w:rPr>
          <w:rFonts w:hint="eastAsia" w:ascii="仿宋_GB2312" w:eastAsia="仿宋_GB2312" w:cs="宋体"/>
          <w:color w:val="000000"/>
          <w:kern w:val="0"/>
          <w:sz w:val="32"/>
          <w:szCs w:val="32"/>
        </w:rPr>
        <w:t>申请机构可以通过登录网上审批系统提交加盖公章的告知承诺书以及相关申请材料，告知承诺书和相关申请材料不齐全或者不符合法定形式的，资质审批部门在五个工作日内一次性告知申请机构需要补正的全部内容。</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eastAsia="仿宋_GB2312"/>
          <w:color w:val="000000"/>
          <w:sz w:val="32"/>
          <w:szCs w:val="32"/>
        </w:rPr>
      </w:pPr>
      <w:r>
        <w:rPr>
          <w:rFonts w:hint="eastAsia" w:ascii="黑体" w:hAnsi="黑体" w:eastAsia="黑体" w:cs="宋体"/>
          <w:color w:val="000000"/>
          <w:kern w:val="0"/>
          <w:sz w:val="32"/>
          <w:szCs w:val="32"/>
        </w:rPr>
        <w:t xml:space="preserve">第九条 </w:t>
      </w:r>
      <w:r>
        <w:rPr>
          <w:rFonts w:hint="eastAsia" w:ascii="仿宋_GB2312" w:eastAsia="仿宋_GB2312"/>
          <w:color w:val="000000"/>
          <w:sz w:val="32"/>
          <w:szCs w:val="32"/>
        </w:rPr>
        <w:t>资质审批部门不对材料</w:t>
      </w:r>
      <w:r>
        <w:rPr>
          <w:rFonts w:ascii="仿宋_GB2312" w:eastAsia="仿宋_GB2312"/>
          <w:color w:val="000000"/>
          <w:sz w:val="32"/>
          <w:szCs w:val="32"/>
        </w:rPr>
        <w:t>进行</w:t>
      </w:r>
      <w:r>
        <w:rPr>
          <w:rFonts w:hint="eastAsia" w:ascii="仿宋_GB2312" w:eastAsia="仿宋_GB2312"/>
          <w:color w:val="000000"/>
          <w:sz w:val="32"/>
          <w:szCs w:val="32"/>
        </w:rPr>
        <w:t>实质性</w:t>
      </w:r>
      <w:r>
        <w:rPr>
          <w:rFonts w:ascii="仿宋_GB2312" w:eastAsia="仿宋_GB2312"/>
          <w:color w:val="000000"/>
          <w:sz w:val="32"/>
          <w:szCs w:val="32"/>
        </w:rPr>
        <w:t>审查，</w:t>
      </w:r>
      <w:r>
        <w:rPr>
          <w:rFonts w:hint="eastAsia" w:ascii="仿宋_GB2312" w:eastAsia="仿宋_GB2312"/>
          <w:color w:val="000000"/>
          <w:sz w:val="32"/>
          <w:szCs w:val="32"/>
        </w:rPr>
        <w:t>告知</w:t>
      </w:r>
      <w:r>
        <w:rPr>
          <w:rFonts w:ascii="仿宋_GB2312" w:eastAsia="仿宋_GB2312"/>
          <w:color w:val="000000"/>
          <w:sz w:val="32"/>
          <w:szCs w:val="32"/>
        </w:rPr>
        <w:t>承诺书和相关申请材料齐全</w:t>
      </w:r>
      <w:r>
        <w:rPr>
          <w:rFonts w:hint="eastAsia" w:ascii="仿宋_GB2312" w:eastAsia="仿宋_GB2312"/>
          <w:color w:val="000000"/>
          <w:sz w:val="32"/>
          <w:szCs w:val="32"/>
        </w:rPr>
        <w:t>、符合法定形式</w:t>
      </w:r>
      <w:r>
        <w:rPr>
          <w:rFonts w:ascii="仿宋_GB2312" w:eastAsia="仿宋_GB2312"/>
          <w:color w:val="000000"/>
          <w:sz w:val="32"/>
          <w:szCs w:val="32"/>
        </w:rPr>
        <w:t>的，当场作出</w:t>
      </w:r>
      <w:r>
        <w:rPr>
          <w:rFonts w:hint="eastAsia" w:ascii="仿宋_GB2312" w:eastAsia="仿宋_GB2312"/>
          <w:color w:val="000000"/>
          <w:sz w:val="32"/>
          <w:szCs w:val="32"/>
        </w:rPr>
        <w:t>许可</w:t>
      </w:r>
      <w:r>
        <w:rPr>
          <w:rFonts w:ascii="仿宋_GB2312" w:eastAsia="仿宋_GB2312"/>
          <w:color w:val="000000"/>
          <w:sz w:val="32"/>
          <w:szCs w:val="32"/>
        </w:rPr>
        <w:t>决定。</w:t>
      </w:r>
      <w:r>
        <w:rPr>
          <w:rFonts w:hint="eastAsia" w:ascii="仿宋_GB2312" w:eastAsia="仿宋_GB2312"/>
          <w:color w:val="000000"/>
          <w:sz w:val="32"/>
          <w:szCs w:val="32"/>
        </w:rPr>
        <w:t>作出许可决定后七个工作日内向申请机构颁发认证机构批准书。</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kern w:val="0"/>
          <w:sz w:val="32"/>
          <w:szCs w:val="32"/>
        </w:rPr>
      </w:pPr>
      <w:r>
        <w:rPr>
          <w:rFonts w:hint="eastAsia" w:ascii="黑体" w:hAnsi="黑体" w:eastAsia="黑体" w:cs="宋体"/>
          <w:kern w:val="0"/>
          <w:sz w:val="32"/>
          <w:szCs w:val="32"/>
        </w:rPr>
        <w:t xml:space="preserve">第十条 </w:t>
      </w:r>
      <w:r>
        <w:rPr>
          <w:rFonts w:hint="eastAsia" w:ascii="仿宋_GB2312" w:hAnsi="宋体" w:eastAsia="仿宋_GB2312" w:cs="宋体"/>
          <w:kern w:val="0"/>
          <w:sz w:val="32"/>
          <w:szCs w:val="32"/>
        </w:rPr>
        <w:t>资质审批部门应当在作出准予资质许可后，</w:t>
      </w:r>
      <w:r>
        <w:rPr>
          <w:rFonts w:ascii="仿宋_GB2312" w:hAnsi="宋体" w:eastAsia="仿宋_GB2312" w:cs="宋体"/>
          <w:kern w:val="0"/>
          <w:sz w:val="32"/>
          <w:szCs w:val="32"/>
        </w:rPr>
        <w:t>根据需要</w:t>
      </w:r>
      <w:r>
        <w:rPr>
          <w:rFonts w:hint="eastAsia" w:ascii="仿宋_GB2312" w:hAnsi="宋体" w:eastAsia="仿宋_GB2312" w:cs="宋体"/>
          <w:kern w:val="0"/>
          <w:sz w:val="32"/>
          <w:szCs w:val="32"/>
        </w:rPr>
        <w:t>并</w:t>
      </w:r>
      <w:r>
        <w:rPr>
          <w:rFonts w:ascii="仿宋_GB2312" w:hAnsi="宋体" w:eastAsia="仿宋_GB2312" w:cs="宋体"/>
          <w:kern w:val="0"/>
          <w:sz w:val="32"/>
          <w:szCs w:val="32"/>
        </w:rPr>
        <w:t>视风险情况</w:t>
      </w:r>
      <w:r>
        <w:rPr>
          <w:rFonts w:hint="eastAsia" w:ascii="仿宋_GB2312" w:hAnsi="宋体" w:eastAsia="仿宋_GB2312" w:cs="宋体"/>
          <w:kern w:val="0"/>
          <w:sz w:val="32"/>
          <w:szCs w:val="32"/>
        </w:rPr>
        <w:t>，对认证机构是否持续符合法定</w:t>
      </w:r>
      <w:r>
        <w:rPr>
          <w:rFonts w:ascii="仿宋_GB2312" w:hAnsi="宋体" w:eastAsia="仿宋_GB2312" w:cs="宋体"/>
          <w:kern w:val="0"/>
          <w:sz w:val="32"/>
          <w:szCs w:val="32"/>
        </w:rPr>
        <w:t>条件</w:t>
      </w:r>
      <w:r>
        <w:rPr>
          <w:rFonts w:hint="eastAsia" w:ascii="仿宋_GB2312" w:hAnsi="宋体" w:eastAsia="仿宋_GB2312" w:cs="宋体"/>
          <w:kern w:val="0"/>
          <w:sz w:val="32"/>
          <w:szCs w:val="32"/>
        </w:rPr>
        <w:t>和能力</w:t>
      </w:r>
      <w:r>
        <w:rPr>
          <w:rFonts w:ascii="仿宋_GB2312" w:hAnsi="宋体" w:eastAsia="仿宋_GB2312" w:cs="宋体"/>
          <w:kern w:val="0"/>
          <w:sz w:val="32"/>
          <w:szCs w:val="32"/>
        </w:rPr>
        <w:t>要求</w:t>
      </w:r>
      <w:r>
        <w:rPr>
          <w:rFonts w:hint="eastAsia" w:ascii="仿宋_GB2312" w:hAnsi="宋体" w:eastAsia="仿宋_GB2312" w:cs="宋体"/>
          <w:kern w:val="0"/>
          <w:sz w:val="32"/>
          <w:szCs w:val="32"/>
        </w:rPr>
        <w:t>进行核查。</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spacing w:val="-6"/>
          <w:kern w:val="0"/>
          <w:sz w:val="32"/>
          <w:szCs w:val="32"/>
        </w:rPr>
      </w:pPr>
      <w:r>
        <w:rPr>
          <w:rFonts w:hint="eastAsia" w:ascii="黑体" w:hAnsi="黑体" w:eastAsia="黑体" w:cs="宋体"/>
          <w:kern w:val="0"/>
          <w:sz w:val="32"/>
          <w:szCs w:val="32"/>
        </w:rPr>
        <w:t xml:space="preserve">第十一条 </w:t>
      </w:r>
      <w:r>
        <w:rPr>
          <w:rFonts w:hint="eastAsia" w:ascii="仿宋_GB2312" w:hAnsi="宋体" w:eastAsia="仿宋_GB2312" w:cs="宋体"/>
          <w:kern w:val="0"/>
          <w:sz w:val="32"/>
          <w:szCs w:val="32"/>
        </w:rPr>
        <w:t>核</w:t>
      </w:r>
      <w:r>
        <w:rPr>
          <w:rFonts w:hint="eastAsia" w:ascii="仿宋_GB2312" w:hAnsi="宋体" w:eastAsia="仿宋_GB2312" w:cs="宋体"/>
          <w:spacing w:val="-6"/>
          <w:kern w:val="0"/>
          <w:sz w:val="32"/>
          <w:szCs w:val="32"/>
        </w:rPr>
        <w:t>查中发现认证机构已不具备或者不能持续符合法定条件和能力的，应当书面通知认证机构限期整改，限期整改的期限不超过三十个工作日。整改期间，认证机构不得开展相应</w:t>
      </w:r>
      <w:r>
        <w:rPr>
          <w:rFonts w:ascii="仿宋_GB2312" w:hAnsi="宋体" w:eastAsia="仿宋_GB2312" w:cs="宋体"/>
          <w:spacing w:val="-6"/>
          <w:kern w:val="0"/>
          <w:sz w:val="32"/>
          <w:szCs w:val="32"/>
        </w:rPr>
        <w:t>认证活动。</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认证机构逾期拒不整改或者整改后仍不符合要求的，按照《认证机构管理办法》的相关规定撤销行政许可，并予以公布。</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kern w:val="0"/>
          <w:sz w:val="32"/>
          <w:szCs w:val="32"/>
        </w:rPr>
      </w:pPr>
      <w:r>
        <w:rPr>
          <w:rFonts w:hint="eastAsia" w:ascii="黑体" w:hAnsi="黑体" w:eastAsia="黑体" w:cs="宋体"/>
          <w:kern w:val="0"/>
          <w:sz w:val="32"/>
          <w:szCs w:val="32"/>
        </w:rPr>
        <w:t xml:space="preserve">第十二条 </w:t>
      </w:r>
      <w:r>
        <w:rPr>
          <w:rFonts w:hint="eastAsia" w:ascii="仿宋_GB2312" w:hAnsi="宋体" w:eastAsia="仿宋_GB2312" w:cs="宋体"/>
          <w:color w:val="000000"/>
          <w:kern w:val="0"/>
          <w:sz w:val="32"/>
          <w:szCs w:val="32"/>
        </w:rPr>
        <w:t>核查中发现认证机构作出虚假承诺、提交虚假材料或者采取其他欺诈手段隐瞒重要事实取得资质的，按照《行政许可法》的相关规定撤销行政许可，并予以公布。该机构列入严重违法失信名单，</w:t>
      </w:r>
      <w:r>
        <w:rPr>
          <w:rFonts w:hint="eastAsia" w:ascii="仿宋_GB2312" w:hAnsi="宋体" w:eastAsia="仿宋_GB2312" w:cs="宋体"/>
          <w:kern w:val="0"/>
          <w:sz w:val="32"/>
          <w:szCs w:val="32"/>
        </w:rPr>
        <w:t>其此前出具的相关认证证书不具有证明作用，并承担因此引发的相应法律责任。</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 xml:space="preserve">第十三条 </w:t>
      </w:r>
      <w:r>
        <w:rPr>
          <w:rFonts w:hint="eastAsia" w:ascii="仿宋_GB2312" w:hAnsi="宋体" w:eastAsia="仿宋_GB2312" w:cs="宋体"/>
          <w:color w:val="000000"/>
          <w:kern w:val="0"/>
          <w:sz w:val="32"/>
          <w:szCs w:val="32"/>
        </w:rPr>
        <w:t>以告知承诺方式取得资质的认证机构发生其他违法违规行为的，依照《中华</w:t>
      </w:r>
      <w:r>
        <w:rPr>
          <w:rFonts w:ascii="仿宋_GB2312" w:hAnsi="宋体" w:eastAsia="仿宋_GB2312" w:cs="宋体"/>
          <w:color w:val="000000"/>
          <w:kern w:val="0"/>
          <w:sz w:val="32"/>
          <w:szCs w:val="32"/>
        </w:rPr>
        <w:t>人民共和国认证认可条例</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和</w:t>
      </w:r>
      <w:r>
        <w:rPr>
          <w:rFonts w:hint="eastAsia" w:ascii="仿宋_GB2312" w:hAnsi="宋体" w:eastAsia="仿宋_GB2312" w:cs="宋体"/>
          <w:color w:val="000000"/>
          <w:kern w:val="0"/>
          <w:sz w:val="32"/>
          <w:szCs w:val="32"/>
        </w:rPr>
        <w:t>《认证</w:t>
      </w:r>
      <w:r>
        <w:rPr>
          <w:rFonts w:ascii="仿宋_GB2312" w:hAnsi="宋体" w:eastAsia="仿宋_GB2312" w:cs="宋体"/>
          <w:color w:val="000000"/>
          <w:kern w:val="0"/>
          <w:sz w:val="32"/>
          <w:szCs w:val="32"/>
        </w:rPr>
        <w:t>机构管理办法</w:t>
      </w:r>
      <w:r>
        <w:rPr>
          <w:rFonts w:hint="eastAsia" w:ascii="仿宋_GB2312" w:hAnsi="宋体" w:eastAsia="仿宋_GB2312" w:cs="宋体"/>
          <w:color w:val="000000"/>
          <w:kern w:val="0"/>
          <w:sz w:val="32"/>
          <w:szCs w:val="32"/>
        </w:rPr>
        <w:t>》的相关规定予以处理。</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eastAsia="仿宋_GB2312" w:cs="宋体"/>
          <w:color w:val="000000"/>
          <w:kern w:val="0"/>
          <w:sz w:val="32"/>
          <w:szCs w:val="32"/>
        </w:rPr>
      </w:pPr>
      <w:r>
        <w:rPr>
          <w:rFonts w:hint="eastAsia" w:ascii="黑体" w:hAnsi="黑体" w:eastAsia="黑体" w:cs="宋体"/>
          <w:color w:val="000000"/>
          <w:kern w:val="0"/>
          <w:sz w:val="32"/>
          <w:szCs w:val="32"/>
        </w:rPr>
        <w:t xml:space="preserve">第十四条 </w:t>
      </w:r>
      <w:r>
        <w:rPr>
          <w:rFonts w:hint="eastAsia" w:ascii="仿宋_GB2312" w:hAnsi="宋体" w:eastAsia="仿宋_GB2312" w:cs="宋体"/>
          <w:color w:val="000000"/>
          <w:kern w:val="0"/>
          <w:sz w:val="32"/>
          <w:szCs w:val="32"/>
        </w:rPr>
        <w:t>资质审批部门工作人员在实施告知承诺工作中存在滥用职权、玩忽职守、徇私舞弊行为的，依照相关法律法规的规定予以处理。</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eastAsia="仿宋_GB2312"/>
          <w:color w:val="000000"/>
          <w:sz w:val="32"/>
          <w:szCs w:val="32"/>
        </w:rPr>
      </w:pPr>
      <w:r>
        <w:rPr>
          <w:rFonts w:hint="eastAsia" w:ascii="黑体" w:hAnsi="黑体" w:eastAsia="黑体" w:cs="宋体"/>
          <w:color w:val="000000"/>
          <w:kern w:val="0"/>
          <w:sz w:val="32"/>
          <w:szCs w:val="32"/>
        </w:rPr>
        <w:t xml:space="preserve">第十五条 </w:t>
      </w:r>
      <w:r>
        <w:rPr>
          <w:rFonts w:hint="eastAsia" w:ascii="仿宋_GB2312" w:hAnsi="宋体" w:eastAsia="仿宋_GB2312" w:cs="宋体"/>
          <w:color w:val="000000"/>
          <w:kern w:val="0"/>
          <w:sz w:val="32"/>
          <w:szCs w:val="32"/>
        </w:rPr>
        <w:t>本办法自发布之日起施行。</w:t>
      </w:r>
      <w:bookmarkStart w:id="0" w:name="yinfariqi"/>
      <w:bookmarkEnd w:id="0"/>
    </w:p>
    <w:p>
      <w:pPr>
        <w:pStyle w:val="9"/>
        <w:keepNext w:val="0"/>
        <w:keepLines w:val="0"/>
        <w:pageBreakBefore w:val="0"/>
        <w:widowControl w:val="0"/>
        <w:kinsoku/>
        <w:wordWrap/>
        <w:overflowPunct w:val="0"/>
        <w:topLinePunct w:val="0"/>
        <w:autoSpaceDE/>
        <w:autoSpaceDN/>
        <w:bidi w:val="0"/>
        <w:spacing w:before="0" w:beforeAutospacing="0" w:after="0" w:afterAutospacing="0" w:line="594" w:lineRule="exact"/>
        <w:textAlignment w:val="auto"/>
        <w:rPr>
          <w:rFonts w:ascii="Arial" w:hAnsi="Arial" w:cs="Arial"/>
          <w:color w:val="333333"/>
        </w:rPr>
      </w:pPr>
      <w:r>
        <w:rPr>
          <w:rFonts w:ascii="Arial" w:hAnsi="Arial" w:cs="Arial"/>
          <w:color w:val="333333"/>
        </w:rPr>
        <w:t>　　</w:t>
      </w:r>
    </w:p>
    <w:p>
      <w:pPr>
        <w:pStyle w:val="9"/>
        <w:keepNext w:val="0"/>
        <w:keepLines w:val="0"/>
        <w:pageBreakBefore w:val="0"/>
        <w:widowControl w:val="0"/>
        <w:kinsoku/>
        <w:wordWrap/>
        <w:overflowPunct w:val="0"/>
        <w:topLinePunct w:val="0"/>
        <w:autoSpaceDE/>
        <w:autoSpaceDN/>
        <w:bidi w:val="0"/>
        <w:spacing w:before="0" w:beforeAutospacing="0" w:after="0" w:afterAutospacing="0" w:line="594" w:lineRule="exact"/>
        <w:textAlignment w:val="auto"/>
        <w:rPr>
          <w:rFonts w:hint="eastAsia" w:ascii="Arial" w:hAnsi="Arial" w:eastAsia="仿宋_GB2312" w:cs="Arial"/>
          <w:color w:val="333333"/>
          <w:lang w:eastAsia="zh-CN"/>
        </w:rPr>
      </w:pPr>
      <w:r>
        <w:rPr>
          <w:rFonts w:ascii="Arial" w:hAnsi="Arial" w:cs="Arial"/>
          <w:color w:val="333333"/>
        </w:rPr>
        <w:t>　</w:t>
      </w:r>
      <w:r>
        <w:rPr>
          <w:rFonts w:ascii="仿宋_GB2312" w:eastAsia="仿宋_GB2312"/>
          <w:color w:val="000000"/>
          <w:sz w:val="32"/>
          <w:szCs w:val="32"/>
        </w:rPr>
        <w:t>　附</w:t>
      </w:r>
      <w:r>
        <w:rPr>
          <w:rFonts w:hint="eastAsia" w:ascii="仿宋_GB2312" w:eastAsia="仿宋_GB2312"/>
          <w:color w:val="000000"/>
          <w:sz w:val="32"/>
          <w:szCs w:val="32"/>
        </w:rPr>
        <w:t>：认证机构资质审批告知承诺书</w:t>
      </w:r>
      <w:r>
        <w:rPr>
          <w:rFonts w:hint="eastAsia" w:ascii="仿宋_GB2312" w:eastAsia="仿宋_GB2312"/>
          <w:color w:val="000000"/>
          <w:sz w:val="32"/>
          <w:szCs w:val="32"/>
          <w:lang w:eastAsia="zh-CN"/>
        </w:rPr>
        <w:t>（</w:t>
      </w:r>
      <w:r>
        <w:rPr>
          <w:rFonts w:hint="eastAsia" w:ascii="仿宋_GB2312" w:eastAsia="仿宋_GB2312"/>
          <w:color w:val="000000"/>
          <w:sz w:val="32"/>
          <w:szCs w:val="32"/>
        </w:rPr>
        <w:t>文本式样</w:t>
      </w:r>
      <w:r>
        <w:rPr>
          <w:rFonts w:hint="eastAsia" w:ascii="仿宋_GB2312" w:eastAsia="仿宋_GB2312"/>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94" w:lineRule="exact"/>
        <w:jc w:val="left"/>
        <w:textAlignment w:val="auto"/>
        <w:rPr>
          <w:rFonts w:hint="eastAsia" w:ascii="黑体" w:hAnsi="仿宋_GB2312" w:eastAsia="黑体" w:cs="仿宋_GB2312"/>
          <w:color w:val="00000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94" w:lineRule="exact"/>
        <w:jc w:val="left"/>
        <w:textAlignment w:val="auto"/>
        <w:rPr>
          <w:rFonts w:ascii="黑体" w:hAnsi="仿宋_GB2312" w:eastAsia="黑体" w:cs="仿宋_GB2312"/>
          <w:color w:val="000000"/>
          <w:kern w:val="0"/>
          <w:sz w:val="32"/>
          <w:szCs w:val="32"/>
        </w:rPr>
      </w:pPr>
      <w:r>
        <w:rPr>
          <w:rFonts w:hint="eastAsia" w:ascii="黑体" w:hAnsi="仿宋_GB2312" w:eastAsia="黑体" w:cs="仿宋_GB2312"/>
          <w:color w:val="000000"/>
          <w:kern w:val="0"/>
          <w:sz w:val="32"/>
          <w:szCs w:val="32"/>
        </w:rPr>
        <w:br w:type="page"/>
      </w:r>
      <w:r>
        <w:rPr>
          <w:rFonts w:hint="eastAsia" w:ascii="黑体" w:hAnsi="仿宋_GB2312" w:eastAsia="黑体" w:cs="仿宋_GB2312"/>
          <w:color w:val="000000"/>
          <w:kern w:val="0"/>
          <w:sz w:val="32"/>
          <w:szCs w:val="32"/>
        </w:rPr>
        <w:t>附</w:t>
      </w:r>
    </w:p>
    <w:p>
      <w:pPr>
        <w:keepNext w:val="0"/>
        <w:keepLines w:val="0"/>
        <w:pageBreakBefore w:val="0"/>
        <w:widowControl w:val="0"/>
        <w:kinsoku/>
        <w:wordWrap/>
        <w:overflowPunct w:val="0"/>
        <w:topLinePunct w:val="0"/>
        <w:autoSpaceDE/>
        <w:autoSpaceDN/>
        <w:bidi w:val="0"/>
        <w:adjustRightInd w:val="0"/>
        <w:snapToGrid w:val="0"/>
        <w:spacing w:line="594" w:lineRule="exact"/>
        <w:jc w:val="center"/>
        <w:textAlignment w:val="auto"/>
        <w:rPr>
          <w:rFonts w:hint="eastAsia" w:ascii="黑体" w:hAnsi="仿宋_GB2312" w:eastAsia="黑体" w:cs="仿宋_GB2312"/>
          <w:color w:val="00000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94" w:lineRule="exact"/>
        <w:jc w:val="center"/>
        <w:textAlignment w:val="auto"/>
        <w:rPr>
          <w:rFonts w:ascii="方正小标宋简体" w:hAnsi="方正小标宋_GBK" w:eastAsia="方正小标宋简体" w:cs="方正小标宋_GBK"/>
          <w:bCs/>
          <w:color w:val="000000"/>
          <w:kern w:val="0"/>
          <w:sz w:val="44"/>
          <w:szCs w:val="44"/>
        </w:rPr>
      </w:pPr>
      <w:r>
        <w:rPr>
          <w:rFonts w:hint="eastAsia" w:ascii="方正小标宋简体" w:hAnsi="方正小标宋_GBK" w:eastAsia="方正小标宋简体" w:cs="方正小标宋_GBK"/>
          <w:bCs/>
          <w:color w:val="000000"/>
          <w:kern w:val="0"/>
          <w:sz w:val="44"/>
          <w:szCs w:val="44"/>
        </w:rPr>
        <w:t>认证机构资质审批</w:t>
      </w:r>
    </w:p>
    <w:p>
      <w:pPr>
        <w:keepNext w:val="0"/>
        <w:keepLines w:val="0"/>
        <w:pageBreakBefore w:val="0"/>
        <w:widowControl w:val="0"/>
        <w:kinsoku/>
        <w:wordWrap/>
        <w:overflowPunct w:val="0"/>
        <w:topLinePunct w:val="0"/>
        <w:autoSpaceDE/>
        <w:autoSpaceDN/>
        <w:bidi w:val="0"/>
        <w:adjustRightInd w:val="0"/>
        <w:snapToGrid w:val="0"/>
        <w:spacing w:line="594" w:lineRule="exact"/>
        <w:jc w:val="center"/>
        <w:textAlignment w:val="auto"/>
        <w:rPr>
          <w:rFonts w:ascii="仿宋_GB2312" w:hAnsi="宋体" w:eastAsia="仿宋_GB2312" w:cs="宋体"/>
          <w:color w:val="000000"/>
          <w:kern w:val="0"/>
          <w:sz w:val="32"/>
          <w:szCs w:val="32"/>
        </w:rPr>
      </w:pPr>
      <w:r>
        <w:rPr>
          <w:rFonts w:hint="eastAsia" w:ascii="方正小标宋简体" w:hAnsi="方正小标宋_GBK" w:eastAsia="方正小标宋简体" w:cs="方正小标宋_GBK"/>
          <w:bCs/>
          <w:color w:val="000000"/>
          <w:kern w:val="0"/>
          <w:sz w:val="44"/>
          <w:szCs w:val="44"/>
        </w:rPr>
        <w:t>告知承诺书</w:t>
      </w:r>
    </w:p>
    <w:p>
      <w:pPr>
        <w:keepNext w:val="0"/>
        <w:keepLines w:val="0"/>
        <w:pageBreakBefore w:val="0"/>
        <w:widowControl w:val="0"/>
        <w:kinsoku/>
        <w:wordWrap/>
        <w:overflowPunct w:val="0"/>
        <w:topLinePunct w:val="0"/>
        <w:autoSpaceDE/>
        <w:autoSpaceDN/>
        <w:bidi w:val="0"/>
        <w:adjustRightInd w:val="0"/>
        <w:snapToGrid w:val="0"/>
        <w:spacing w:line="594" w:lineRule="exact"/>
        <w:jc w:val="center"/>
        <w:textAlignment w:val="auto"/>
        <w:rPr>
          <w:rFonts w:ascii="仿宋_GB2312" w:hAnsi="宋体" w:eastAsia="仿宋_GB2312" w:cs="宋体"/>
          <w:color w:val="00000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本机构就申请审批的事项，作出下列承诺：</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（一）本机构所填写的相关信息真实、准确；</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（二）本机构已经知悉资质审批部门告知的全部内容；</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（三）本机构能够符合告知的条件和技术能力要求，并可随时接受核查；</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（四）本机构能够提交告知的相关材料；</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（五）本机构愿意承担不实承诺、违反承诺所引发的相应法律责任；</w:t>
      </w:r>
    </w:p>
    <w:p>
      <w:pPr>
        <w:keepNext w:val="0"/>
        <w:keepLines w:val="0"/>
        <w:pageBreakBefore w:val="0"/>
        <w:widowControl w:val="0"/>
        <w:kinsoku/>
        <w:wordWrap/>
        <w:overflowPunct w:val="0"/>
        <w:topLinePunct w:val="0"/>
        <w:autoSpaceDE/>
        <w:autoSpaceDN/>
        <w:bidi w:val="0"/>
        <w:adjustRightInd w:val="0"/>
        <w:snapToGrid w:val="0"/>
        <w:spacing w:line="594" w:lineRule="exact"/>
        <w:ind w:firstLine="628"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（六）所作承诺是本机构的真实意思表示。</w:t>
      </w:r>
    </w:p>
    <w:p>
      <w:pPr>
        <w:keepNext w:val="0"/>
        <w:keepLines w:val="0"/>
        <w:pageBreakBefore w:val="0"/>
        <w:widowControl w:val="0"/>
        <w:kinsoku/>
        <w:wordWrap/>
        <w:overflowPunct w:val="0"/>
        <w:topLinePunct w:val="0"/>
        <w:autoSpaceDE/>
        <w:autoSpaceDN/>
        <w:bidi w:val="0"/>
        <w:adjustRightInd w:val="0"/>
        <w:snapToGrid w:val="0"/>
        <w:spacing w:line="594" w:lineRule="exact"/>
        <w:ind w:firstLine="548" w:firstLineChars="200"/>
        <w:textAlignment w:val="auto"/>
        <w:rPr>
          <w:rFonts w:ascii="仿宋_GB2312" w:hAnsi="宋体" w:eastAsia="仿宋_GB2312" w:cs="宋体"/>
          <w:color w:val="000000"/>
          <w:kern w:val="0"/>
          <w:sz w:val="28"/>
          <w:szCs w:val="28"/>
        </w:rPr>
      </w:pPr>
    </w:p>
    <w:p>
      <w:pPr>
        <w:keepNext w:val="0"/>
        <w:keepLines w:val="0"/>
        <w:pageBreakBefore w:val="0"/>
        <w:widowControl w:val="0"/>
        <w:kinsoku/>
        <w:wordWrap/>
        <w:overflowPunct w:val="0"/>
        <w:topLinePunct w:val="0"/>
        <w:autoSpaceDE/>
        <w:autoSpaceDN/>
        <w:bidi w:val="0"/>
        <w:adjustRightInd w:val="0"/>
        <w:snapToGrid w:val="0"/>
        <w:spacing w:line="594" w:lineRule="exact"/>
        <w:jc w:val="left"/>
        <w:textAlignment w:val="auto"/>
        <w:rPr>
          <w:rFonts w:ascii="仿宋_GB2312" w:hAnsi="黑体" w:eastAsia="仿宋_GB2312"/>
          <w:b/>
          <w:bCs/>
          <w:color w:val="000000"/>
          <w:kern w:val="0"/>
          <w:sz w:val="28"/>
          <w:szCs w:val="28"/>
          <w:u w:val="single"/>
        </w:rPr>
      </w:pPr>
    </w:p>
    <w:p>
      <w:pPr>
        <w:keepNext w:val="0"/>
        <w:keepLines w:val="0"/>
        <w:pageBreakBefore w:val="0"/>
        <w:widowControl w:val="0"/>
        <w:kinsoku/>
        <w:wordWrap/>
        <w:overflowPunct w:val="0"/>
        <w:topLinePunct w:val="0"/>
        <w:autoSpaceDE/>
        <w:autoSpaceDN/>
        <w:bidi w:val="0"/>
        <w:spacing w:line="594" w:lineRule="exact"/>
        <w:textAlignment w:val="auto"/>
        <w:rPr>
          <w:rFonts w:ascii="仿宋_GB2312" w:hAnsi="宋体" w:eastAsia="仿宋_GB2312" w:cs="宋体"/>
          <w:color w:val="000000"/>
          <w:kern w:val="0"/>
          <w:sz w:val="32"/>
          <w:szCs w:val="32"/>
        </w:rPr>
      </w:pPr>
    </w:p>
    <w:p>
      <w:pPr>
        <w:keepNext w:val="0"/>
        <w:keepLines w:val="0"/>
        <w:pageBreakBefore w:val="0"/>
        <w:widowControl w:val="0"/>
        <w:kinsoku/>
        <w:wordWrap/>
        <w:overflowPunct w:val="0"/>
        <w:topLinePunct w:val="0"/>
        <w:autoSpaceDE/>
        <w:autoSpaceDN/>
        <w:bidi w:val="0"/>
        <w:spacing w:line="594" w:lineRule="exact"/>
        <w:ind w:left="0" w:leftChars="0" w:firstLine="4123" w:firstLineChars="1313"/>
        <w:textAlignment w:val="auto"/>
        <w:rPr>
          <w:rFonts w:ascii="宋体" w:hAnsi="宋体" w:eastAsia="仿宋_GB2312" w:cs="宋体"/>
          <w:color w:val="000000"/>
          <w:kern w:val="0"/>
          <w:sz w:val="28"/>
          <w:szCs w:val="28"/>
        </w:rPr>
      </w:pPr>
      <w:r>
        <w:rPr>
          <w:rFonts w:hint="eastAsia" w:ascii="仿宋_GB2312" w:hAnsi="宋体" w:eastAsia="仿宋_GB2312" w:cs="宋体"/>
          <w:color w:val="000000"/>
          <w:kern w:val="0"/>
          <w:sz w:val="32"/>
          <w:szCs w:val="32"/>
        </w:rPr>
        <w:t>法定代表人签字：</w:t>
      </w:r>
      <w:r>
        <w:rPr>
          <w:rFonts w:hint="eastAsia" w:ascii="宋体" w:hAnsi="宋体" w:eastAsia="仿宋_GB2312" w:cs="宋体"/>
          <w:color w:val="000000"/>
          <w:kern w:val="0"/>
          <w:sz w:val="28"/>
          <w:szCs w:val="28"/>
        </w:rPr>
        <w:t xml:space="preserve">                    </w:t>
      </w:r>
    </w:p>
    <w:p>
      <w:pPr>
        <w:keepNext w:val="0"/>
        <w:keepLines w:val="0"/>
        <w:pageBreakBefore w:val="0"/>
        <w:widowControl w:val="0"/>
        <w:kinsoku/>
        <w:wordWrap/>
        <w:overflowPunct w:val="0"/>
        <w:topLinePunct w:val="0"/>
        <w:autoSpaceDE/>
        <w:autoSpaceDN/>
        <w:bidi w:val="0"/>
        <w:spacing w:line="594" w:lineRule="exact"/>
        <w:jc w:val="center"/>
        <w:textAlignment w:val="auto"/>
        <w:rPr>
          <w:rFonts w:ascii="宋体" w:hAnsi="宋体" w:eastAsia="仿宋_GB2312" w:cs="宋体"/>
          <w:color w:val="000000"/>
          <w:kern w:val="0"/>
          <w:sz w:val="28"/>
          <w:szCs w:val="28"/>
        </w:rPr>
      </w:pPr>
      <w:r>
        <w:rPr>
          <w:rFonts w:hint="eastAsia" w:ascii="仿宋_GB2312" w:hAnsi="宋体" w:eastAsia="仿宋_GB2312" w:cs="宋体"/>
          <w:color w:val="000000"/>
          <w:kern w:val="0"/>
          <w:sz w:val="32"/>
          <w:szCs w:val="32"/>
        </w:rPr>
        <w:t xml:space="preserve">          （申请机构盖章）</w:t>
      </w:r>
      <w:r>
        <w:rPr>
          <w:rFonts w:hint="eastAsia" w:ascii="宋体" w:hAnsi="宋体" w:eastAsia="仿宋_GB2312" w:cs="宋体"/>
          <w:color w:val="000000"/>
          <w:kern w:val="0"/>
          <w:sz w:val="28"/>
          <w:szCs w:val="28"/>
        </w:rPr>
        <w:t xml:space="preserve">                       </w:t>
      </w:r>
    </w:p>
    <w:p>
      <w:pPr>
        <w:keepNext w:val="0"/>
        <w:keepLines w:val="0"/>
        <w:pageBreakBefore w:val="0"/>
        <w:widowControl w:val="0"/>
        <w:kinsoku/>
        <w:wordWrap/>
        <w:overflowPunct w:val="0"/>
        <w:topLinePunct w:val="0"/>
        <w:autoSpaceDE/>
        <w:autoSpaceDN/>
        <w:bidi w:val="0"/>
        <w:spacing w:line="594" w:lineRule="exact"/>
        <w:ind w:firstLine="314" w:firstLineChars="100"/>
        <w:jc w:val="center"/>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年 </w:t>
      </w:r>
      <w:r>
        <w:rPr>
          <w:rFonts w:hint="eastAsia" w:ascii="宋体"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月</w:t>
      </w:r>
      <w:r>
        <w:rPr>
          <w:rFonts w:hint="eastAsia" w:ascii="宋体"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日</w:t>
      </w:r>
    </w:p>
    <w:sectPr>
      <w:footerReference r:id="rId3" w:type="default"/>
      <w:footerReference r:id="rId4" w:type="even"/>
      <w:pgSz w:w="11906" w:h="16838"/>
      <w:pgMar w:top="1984" w:right="1474" w:bottom="1361" w:left="1474" w:header="851" w:footer="1361" w:gutter="0"/>
      <w:paperSrc/>
      <w:pgNumType w:start="18"/>
      <w:cols w:space="720" w:num="1"/>
      <w:rtlGutter w:val="0"/>
      <w:docGrid w:type="linesAndChars" w:linePitch="293"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15" w:leftChars="150" w:right="315" w:rightChars="150"/>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43</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15" w:leftChars="150" w:right="315" w:rightChars="150"/>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42</w:t>
    </w:r>
    <w:r>
      <w:rPr>
        <w:rFonts w:ascii="宋体" w:hAnsi="宋体"/>
        <w:sz w:val="28"/>
        <w:szCs w:val="28"/>
      </w:rPr>
      <w:fldChar w:fldCharType="end"/>
    </w:r>
    <w:r>
      <w:rPr>
        <w:rFonts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hyphenationZone w:val="360"/>
  <w:evenAndOddHeaders w:val="1"/>
  <w:drawingGridHorizontalSpacing w:val="102"/>
  <w:drawingGridVerticalSpacing w:val="14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2C"/>
    <w:rsid w:val="000110D8"/>
    <w:rsid w:val="000269C5"/>
    <w:rsid w:val="00040697"/>
    <w:rsid w:val="00050A13"/>
    <w:rsid w:val="00075975"/>
    <w:rsid w:val="000E0988"/>
    <w:rsid w:val="000E7AB4"/>
    <w:rsid w:val="000F19D1"/>
    <w:rsid w:val="000F24CD"/>
    <w:rsid w:val="001044E1"/>
    <w:rsid w:val="001343C3"/>
    <w:rsid w:val="00140B4A"/>
    <w:rsid w:val="00144920"/>
    <w:rsid w:val="0015665E"/>
    <w:rsid w:val="00164C8B"/>
    <w:rsid w:val="00183B35"/>
    <w:rsid w:val="0019344F"/>
    <w:rsid w:val="00197DE5"/>
    <w:rsid w:val="001A4D86"/>
    <w:rsid w:val="001A79A5"/>
    <w:rsid w:val="001B4508"/>
    <w:rsid w:val="001B6733"/>
    <w:rsid w:val="001E1025"/>
    <w:rsid w:val="001E2C8C"/>
    <w:rsid w:val="001E7FD7"/>
    <w:rsid w:val="001F373D"/>
    <w:rsid w:val="001F51DD"/>
    <w:rsid w:val="00215E89"/>
    <w:rsid w:val="00226C39"/>
    <w:rsid w:val="0025678B"/>
    <w:rsid w:val="00262655"/>
    <w:rsid w:val="00267267"/>
    <w:rsid w:val="00281C14"/>
    <w:rsid w:val="00292069"/>
    <w:rsid w:val="002D0667"/>
    <w:rsid w:val="002E6D80"/>
    <w:rsid w:val="002F086C"/>
    <w:rsid w:val="002F1A38"/>
    <w:rsid w:val="00352B84"/>
    <w:rsid w:val="00353C9B"/>
    <w:rsid w:val="00364822"/>
    <w:rsid w:val="003835BE"/>
    <w:rsid w:val="00393318"/>
    <w:rsid w:val="003B37CD"/>
    <w:rsid w:val="003C53AE"/>
    <w:rsid w:val="003D783C"/>
    <w:rsid w:val="003E0BFD"/>
    <w:rsid w:val="003E70A9"/>
    <w:rsid w:val="003F3C8C"/>
    <w:rsid w:val="00423F93"/>
    <w:rsid w:val="00461005"/>
    <w:rsid w:val="00477349"/>
    <w:rsid w:val="00480A53"/>
    <w:rsid w:val="004A1A8C"/>
    <w:rsid w:val="004B5EC3"/>
    <w:rsid w:val="004C4C48"/>
    <w:rsid w:val="004D79F9"/>
    <w:rsid w:val="004F2062"/>
    <w:rsid w:val="005063D6"/>
    <w:rsid w:val="00526645"/>
    <w:rsid w:val="00532474"/>
    <w:rsid w:val="0056417C"/>
    <w:rsid w:val="00581EA8"/>
    <w:rsid w:val="005A2F74"/>
    <w:rsid w:val="005D1E50"/>
    <w:rsid w:val="005E7EBE"/>
    <w:rsid w:val="006524D5"/>
    <w:rsid w:val="00665B42"/>
    <w:rsid w:val="006A3512"/>
    <w:rsid w:val="006B1A8A"/>
    <w:rsid w:val="006C4EA7"/>
    <w:rsid w:val="006D2D6F"/>
    <w:rsid w:val="006D315E"/>
    <w:rsid w:val="0070019F"/>
    <w:rsid w:val="0072072C"/>
    <w:rsid w:val="0072295A"/>
    <w:rsid w:val="007506F5"/>
    <w:rsid w:val="007541D5"/>
    <w:rsid w:val="0076612C"/>
    <w:rsid w:val="0078014D"/>
    <w:rsid w:val="00791849"/>
    <w:rsid w:val="007924A6"/>
    <w:rsid w:val="007E0834"/>
    <w:rsid w:val="007E45D2"/>
    <w:rsid w:val="007E725C"/>
    <w:rsid w:val="007F6955"/>
    <w:rsid w:val="0081347F"/>
    <w:rsid w:val="00836F9B"/>
    <w:rsid w:val="008817F3"/>
    <w:rsid w:val="008A3B7E"/>
    <w:rsid w:val="008E2C19"/>
    <w:rsid w:val="009140DB"/>
    <w:rsid w:val="009247A9"/>
    <w:rsid w:val="00942EFA"/>
    <w:rsid w:val="009F7F8D"/>
    <w:rsid w:val="00A219A4"/>
    <w:rsid w:val="00A41590"/>
    <w:rsid w:val="00A57BBF"/>
    <w:rsid w:val="00A64F75"/>
    <w:rsid w:val="00A81045"/>
    <w:rsid w:val="00A91A33"/>
    <w:rsid w:val="00AC77D0"/>
    <w:rsid w:val="00AD57B3"/>
    <w:rsid w:val="00B11BF0"/>
    <w:rsid w:val="00B12415"/>
    <w:rsid w:val="00B35829"/>
    <w:rsid w:val="00B47C99"/>
    <w:rsid w:val="00B47F2E"/>
    <w:rsid w:val="00B523FC"/>
    <w:rsid w:val="00B7287E"/>
    <w:rsid w:val="00B77AE0"/>
    <w:rsid w:val="00B8240D"/>
    <w:rsid w:val="00B91212"/>
    <w:rsid w:val="00BB2D88"/>
    <w:rsid w:val="00BC0A23"/>
    <w:rsid w:val="00BE757E"/>
    <w:rsid w:val="00BF6101"/>
    <w:rsid w:val="00C27AA7"/>
    <w:rsid w:val="00C32104"/>
    <w:rsid w:val="00C53C16"/>
    <w:rsid w:val="00C61606"/>
    <w:rsid w:val="00C75CB0"/>
    <w:rsid w:val="00C872AB"/>
    <w:rsid w:val="00CA5011"/>
    <w:rsid w:val="00CD6EE3"/>
    <w:rsid w:val="00D035AE"/>
    <w:rsid w:val="00D33819"/>
    <w:rsid w:val="00D655DC"/>
    <w:rsid w:val="00D83D18"/>
    <w:rsid w:val="00D90F73"/>
    <w:rsid w:val="00D9303A"/>
    <w:rsid w:val="00D93C46"/>
    <w:rsid w:val="00DB6238"/>
    <w:rsid w:val="00DB753A"/>
    <w:rsid w:val="00E22465"/>
    <w:rsid w:val="00E36EFE"/>
    <w:rsid w:val="00E578C3"/>
    <w:rsid w:val="00E70D00"/>
    <w:rsid w:val="00E873D4"/>
    <w:rsid w:val="00EE741D"/>
    <w:rsid w:val="00F256C6"/>
    <w:rsid w:val="00F66C08"/>
    <w:rsid w:val="00F67B6A"/>
    <w:rsid w:val="00F75E8A"/>
    <w:rsid w:val="00F80412"/>
    <w:rsid w:val="00FA0766"/>
    <w:rsid w:val="00FB3A89"/>
    <w:rsid w:val="00FE4D8E"/>
    <w:rsid w:val="00FE7E7C"/>
    <w:rsid w:val="012B1B70"/>
    <w:rsid w:val="02CD0CD9"/>
    <w:rsid w:val="0661709A"/>
    <w:rsid w:val="086F522F"/>
    <w:rsid w:val="0F031A62"/>
    <w:rsid w:val="167D0CC6"/>
    <w:rsid w:val="17B32A43"/>
    <w:rsid w:val="1BCA3249"/>
    <w:rsid w:val="1C3537BB"/>
    <w:rsid w:val="21212A7E"/>
    <w:rsid w:val="259F7956"/>
    <w:rsid w:val="27A66DBE"/>
    <w:rsid w:val="282C165F"/>
    <w:rsid w:val="29CF3EB2"/>
    <w:rsid w:val="2AC81101"/>
    <w:rsid w:val="2C5D4207"/>
    <w:rsid w:val="2D1B7423"/>
    <w:rsid w:val="2FB307DD"/>
    <w:rsid w:val="36D9113E"/>
    <w:rsid w:val="3D5321EB"/>
    <w:rsid w:val="3EB36EA2"/>
    <w:rsid w:val="428A0583"/>
    <w:rsid w:val="43231D8A"/>
    <w:rsid w:val="4555641F"/>
    <w:rsid w:val="47DF512B"/>
    <w:rsid w:val="4AF4007D"/>
    <w:rsid w:val="4BCE4B49"/>
    <w:rsid w:val="4D84571A"/>
    <w:rsid w:val="50556BB0"/>
    <w:rsid w:val="51FC5E15"/>
    <w:rsid w:val="57446450"/>
    <w:rsid w:val="57AE1AA3"/>
    <w:rsid w:val="5914270E"/>
    <w:rsid w:val="5DB92EEF"/>
    <w:rsid w:val="5EAD2D84"/>
    <w:rsid w:val="5FAD0B6F"/>
    <w:rsid w:val="6389349F"/>
    <w:rsid w:val="65426561"/>
    <w:rsid w:val="6CB1751C"/>
    <w:rsid w:val="6D764540"/>
    <w:rsid w:val="700D6012"/>
    <w:rsid w:val="71427197"/>
    <w:rsid w:val="733015E9"/>
    <w:rsid w:val="74715BA0"/>
    <w:rsid w:val="75A532A1"/>
    <w:rsid w:val="762B2CD8"/>
    <w:rsid w:val="7BB72B16"/>
    <w:rsid w:val="7DB25EF7"/>
    <w:rsid w:val="7E443E38"/>
    <w:rsid w:val="7F033E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黑体"/>
      <w:kern w:val="2"/>
      <w:sz w:val="21"/>
      <w:szCs w:val="22"/>
      <w:lang w:val="en-US" w:eastAsia="zh-CN" w:bidi="ar-SA"/>
    </w:rPr>
  </w:style>
  <w:style w:type="character" w:default="1" w:styleId="10">
    <w:name w:val="Default Paragraph Font"/>
    <w:unhideWhenUsed/>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style>
  <w:style w:type="paragraph" w:styleId="2">
    <w:name w:val="annotation subject"/>
    <w:basedOn w:val="3"/>
    <w:next w:val="3"/>
    <w:link w:val="26"/>
    <w:unhideWhenUsed/>
    <w:uiPriority w:val="99"/>
    <w:rPr>
      <w:b/>
      <w:bCs/>
    </w:rPr>
  </w:style>
  <w:style w:type="paragraph" w:styleId="3">
    <w:name w:val="annotation text"/>
    <w:basedOn w:val="1"/>
    <w:link w:val="22"/>
    <w:unhideWhenUsed/>
    <w:uiPriority w:val="99"/>
    <w:pPr>
      <w:jc w:val="left"/>
    </w:pPr>
    <w:rPr>
      <w:rFonts w:cs="Times New Roman"/>
    </w:rPr>
  </w:style>
  <w:style w:type="paragraph" w:styleId="4">
    <w:name w:val="Date"/>
    <w:basedOn w:val="1"/>
    <w:next w:val="1"/>
    <w:link w:val="20"/>
    <w:unhideWhenUsed/>
    <w:uiPriority w:val="99"/>
    <w:pPr>
      <w:ind w:left="100" w:leftChars="2500"/>
    </w:pPr>
    <w:rPr>
      <w:rFonts w:cs="Times New Roman"/>
    </w:rPr>
  </w:style>
  <w:style w:type="paragraph" w:styleId="5">
    <w:name w:val="Balloon Text"/>
    <w:basedOn w:val="1"/>
    <w:link w:val="18"/>
    <w:unhideWhenUsed/>
    <w:uiPriority w:val="99"/>
    <w:rPr>
      <w:rFonts w:cs="Times New Roman"/>
      <w:sz w:val="18"/>
      <w:szCs w:val="18"/>
    </w:rPr>
  </w:style>
  <w:style w:type="paragraph" w:styleId="6">
    <w:name w:val="footer"/>
    <w:basedOn w:val="1"/>
    <w:link w:val="24"/>
    <w:unhideWhenUsed/>
    <w:uiPriority w:val="99"/>
    <w:pPr>
      <w:tabs>
        <w:tab w:val="center" w:pos="4153"/>
        <w:tab w:val="right" w:pos="8306"/>
      </w:tabs>
      <w:snapToGrid w:val="0"/>
      <w:jc w:val="left"/>
    </w:pPr>
    <w:rPr>
      <w:rFonts w:cs="Times New Roman"/>
      <w:sz w:val="18"/>
      <w:szCs w:val="18"/>
    </w:rPr>
  </w:style>
  <w:style w:type="paragraph" w:styleId="7">
    <w:name w:val="header"/>
    <w:basedOn w:val="1"/>
    <w:link w:val="23"/>
    <w:unhideWhenUsed/>
    <w:uiPriority w:val="99"/>
    <w:pPr>
      <w:pBdr>
        <w:bottom w:val="single" w:color="auto" w:sz="6" w:space="1"/>
      </w:pBdr>
      <w:tabs>
        <w:tab w:val="center" w:pos="4153"/>
        <w:tab w:val="right" w:pos="8306"/>
      </w:tabs>
      <w:snapToGrid w:val="0"/>
      <w:jc w:val="center"/>
    </w:pPr>
    <w:rPr>
      <w:rFonts w:cs="Times New Roman"/>
      <w:sz w:val="18"/>
      <w:szCs w:val="18"/>
    </w:rPr>
  </w:style>
  <w:style w:type="paragraph" w:styleId="8">
    <w:name w:val="Subtitle"/>
    <w:basedOn w:val="1"/>
    <w:next w:val="1"/>
    <w:link w:val="21"/>
    <w:qFormat/>
    <w:uiPriority w:val="0"/>
    <w:pPr>
      <w:spacing w:before="240" w:after="60" w:line="312" w:lineRule="auto"/>
      <w:jc w:val="center"/>
      <w:outlineLvl w:val="1"/>
    </w:pPr>
    <w:rPr>
      <w:rFonts w:ascii="Calibri Light" w:hAnsi="Calibri Light" w:cs="Times New Roman"/>
      <w:b/>
      <w:bCs/>
      <w:kern w:val="28"/>
      <w:sz w:val="32"/>
      <w:szCs w:val="32"/>
    </w:rPr>
  </w:style>
  <w:style w:type="paragraph" w:styleId="9">
    <w:name w:val="Normal (Web)"/>
    <w:basedOn w:val="1"/>
    <w:uiPriority w:val="0"/>
    <w:pPr>
      <w:widowControl/>
      <w:spacing w:before="100" w:beforeAutospacing="1" w:after="100" w:afterAutospacing="1"/>
      <w:jc w:val="left"/>
    </w:pPr>
    <w:rPr>
      <w:rFonts w:ascii="宋体" w:hAnsi="宋体" w:cs="宋体"/>
      <w:kern w:val="0"/>
      <w:sz w:val="24"/>
    </w:rPr>
  </w:style>
  <w:style w:type="character" w:styleId="11">
    <w:name w:val="page number"/>
    <w:basedOn w:val="10"/>
    <w:uiPriority w:val="0"/>
  </w:style>
  <w:style w:type="table" w:styleId="13">
    <w:name w:val="Table Grid"/>
    <w:basedOn w:val="12"/>
    <w:uiPriority w:val="59"/>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4">
    <w:name w:val="List Paragraph"/>
    <w:basedOn w:val="1"/>
    <w:qFormat/>
    <w:uiPriority w:val="34"/>
    <w:pPr>
      <w:ind w:firstLine="420" w:firstLineChars="200"/>
    </w:pPr>
    <w:rPr>
      <w:rFonts w:ascii="Calibri" w:hAnsi="Calibri" w:eastAsia="宋体" w:cs="Times New Roman"/>
    </w:rPr>
  </w:style>
  <w:style w:type="paragraph" w:customStyle="1" w:styleId="15">
    <w:name w:val="p0"/>
    <w:basedOn w:val="1"/>
    <w:uiPriority w:val="0"/>
    <w:pPr>
      <w:widowControl/>
    </w:pPr>
    <w:rPr>
      <w:rFonts w:ascii="Times New Roman" w:hAnsi="Times New Roman" w:cs="Times New Roman"/>
      <w:kern w:val="0"/>
      <w:sz w:val="32"/>
      <w:szCs w:val="21"/>
    </w:rPr>
  </w:style>
  <w:style w:type="paragraph" w:customStyle="1" w:styleId="16">
    <w:name w:val="正文0"/>
    <w:basedOn w:val="1"/>
    <w:link w:val="25"/>
    <w:qFormat/>
    <w:uiPriority w:val="0"/>
    <w:pPr>
      <w:spacing w:line="360" w:lineRule="auto"/>
      <w:ind w:firstLine="480" w:firstLineChars="200"/>
    </w:pPr>
    <w:rPr>
      <w:rFonts w:ascii="Times New Roman" w:hAnsi="Times New Roman" w:cs="Times New Roman"/>
      <w:sz w:val="24"/>
      <w:szCs w:val="24"/>
      <w:shd w:val="clear" w:color="auto" w:fill="FFFFFF"/>
    </w:rPr>
  </w:style>
  <w:style w:type="paragraph" w:customStyle="1" w:styleId="17">
    <w:name w:val="列出段落2"/>
    <w:basedOn w:val="1"/>
    <w:qFormat/>
    <w:uiPriority w:val="34"/>
    <w:pPr>
      <w:ind w:firstLine="200" w:firstLineChars="200"/>
    </w:pPr>
    <w:rPr>
      <w:rFonts w:cs="Times New Roman"/>
      <w:szCs w:val="21"/>
    </w:rPr>
  </w:style>
  <w:style w:type="character" w:customStyle="1" w:styleId="18">
    <w:name w:val="批注框文本 Char"/>
    <w:link w:val="5"/>
    <w:semiHidden/>
    <w:uiPriority w:val="99"/>
    <w:rPr>
      <w:rFonts w:ascii="Calibri" w:hAnsi="Calibri" w:eastAsia="宋体" w:cs="Times New Roman"/>
      <w:kern w:val="2"/>
      <w:sz w:val="18"/>
      <w:szCs w:val="18"/>
    </w:rPr>
  </w:style>
  <w:style w:type="character" w:customStyle="1" w:styleId="19">
    <w:name w:val="dash6b636587char1"/>
    <w:uiPriority w:val="0"/>
    <w:rPr>
      <w:rFonts w:ascii="Times New Roman" w:hAnsi="Times New Roman" w:cs="Times New Roman"/>
    </w:rPr>
  </w:style>
  <w:style w:type="character" w:customStyle="1" w:styleId="20">
    <w:name w:val="日期 Char"/>
    <w:link w:val="4"/>
    <w:semiHidden/>
    <w:uiPriority w:val="99"/>
    <w:rPr>
      <w:rFonts w:ascii="Calibri" w:hAnsi="Calibri" w:eastAsia="宋体" w:cs="Times New Roman"/>
      <w:kern w:val="2"/>
      <w:sz w:val="21"/>
      <w:szCs w:val="22"/>
    </w:rPr>
  </w:style>
  <w:style w:type="character" w:customStyle="1" w:styleId="21">
    <w:name w:val="副标题 Char"/>
    <w:link w:val="8"/>
    <w:uiPriority w:val="0"/>
    <w:rPr>
      <w:rFonts w:ascii="Calibri Light" w:hAnsi="Calibri Light"/>
      <w:b/>
      <w:bCs/>
      <w:kern w:val="28"/>
      <w:sz w:val="32"/>
      <w:szCs w:val="32"/>
    </w:rPr>
  </w:style>
  <w:style w:type="character" w:customStyle="1" w:styleId="22">
    <w:name w:val="批注文字 Char"/>
    <w:link w:val="3"/>
    <w:semiHidden/>
    <w:uiPriority w:val="99"/>
    <w:rPr>
      <w:rFonts w:ascii="Calibri" w:hAnsi="Calibri" w:eastAsia="宋体" w:cs="Times New Roman"/>
      <w:kern w:val="2"/>
      <w:sz w:val="21"/>
      <w:szCs w:val="22"/>
    </w:rPr>
  </w:style>
  <w:style w:type="character" w:customStyle="1" w:styleId="23">
    <w:name w:val="页眉 Char"/>
    <w:link w:val="7"/>
    <w:uiPriority w:val="99"/>
    <w:rPr>
      <w:rFonts w:cs="黑体"/>
      <w:kern w:val="2"/>
      <w:sz w:val="18"/>
      <w:szCs w:val="18"/>
    </w:rPr>
  </w:style>
  <w:style w:type="character" w:customStyle="1" w:styleId="24">
    <w:name w:val="页脚 Char"/>
    <w:link w:val="6"/>
    <w:uiPriority w:val="99"/>
    <w:rPr>
      <w:rFonts w:cs="黑体"/>
      <w:kern w:val="2"/>
      <w:sz w:val="18"/>
      <w:szCs w:val="18"/>
    </w:rPr>
  </w:style>
  <w:style w:type="character" w:customStyle="1" w:styleId="25">
    <w:name w:val="正文0 Char"/>
    <w:link w:val="16"/>
    <w:uiPriority w:val="0"/>
    <w:rPr>
      <w:rFonts w:ascii="Times New Roman" w:hAnsi="Times New Roman"/>
      <w:kern w:val="2"/>
      <w:sz w:val="24"/>
      <w:szCs w:val="24"/>
    </w:rPr>
  </w:style>
  <w:style w:type="character" w:customStyle="1" w:styleId="26">
    <w:name w:val="批注主题 Char"/>
    <w:link w:val="2"/>
    <w:semiHidden/>
    <w:uiPriority w:val="99"/>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saic</Company>
  <Pages>43</Pages>
  <Words>3095</Words>
  <Characters>17645</Characters>
  <Lines>147</Lines>
  <Paragraphs>41</Paragraphs>
  <TotalTime>3</TotalTime>
  <ScaleCrop>false</ScaleCrop>
  <LinksUpToDate>false</LinksUpToDate>
  <CharactersWithSpaces>20699</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2019-12-26T08:25:00Z</dcterms:created>
  <dc:creator>文学</dc:creator>
  <cp:lastModifiedBy>肖昕</cp:lastModifiedBy>
  <cp:lastPrinted>2020-01-19T01:37:39Z</cp:lastPrinted>
  <dcterms:modified xsi:type="dcterms:W3CDTF">2020-02-25T01:42:18Z</dcterms:modified>
  <dc:title>（格式2：规范性文件类议题）</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