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55"/>
        <w:jc w:val="left"/>
        <w:rPr>
          <w:rFonts w:ascii="Times New Roman" w:hAnsi="Times New Roman" w:eastAsia="方正仿宋简体" w:cs="方正仿宋简体"/>
          <w:color w:val="22222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简体" w:cs="方正仿宋简体"/>
          <w:color w:val="222222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60" w:lineRule="atLeast"/>
        <w:ind w:right="55"/>
        <w:jc w:val="center"/>
        <w:rPr>
          <w:rFonts w:ascii="黑体" w:hAnsi="黑体" w:eastAsia="黑体" w:cs="方正仿宋简体"/>
          <w:color w:val="222222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黑体" w:hAnsi="黑体" w:eastAsia="黑体"/>
          <w:color w:val="222222"/>
          <w:kern w:val="0"/>
          <w:sz w:val="32"/>
          <w:szCs w:val="32"/>
          <w:shd w:val="clear" w:color="auto" w:fill="FFFFFF"/>
          <w:lang w:bidi="ar"/>
        </w:rPr>
        <w:t>新增汽车产品强制性认证依据标准</w:t>
      </w:r>
      <w:bookmarkEnd w:id="0"/>
    </w:p>
    <w:tbl>
      <w:tblPr>
        <w:tblStyle w:val="2"/>
        <w:tblW w:w="4891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249"/>
        <w:gridCol w:w="43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简体" w:cs="方正仿宋简体"/>
                <w:b/>
                <w:bCs/>
                <w:color w:val="333333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8"/>
                <w:szCs w:val="28"/>
              </w:rPr>
              <w:t>标准号及名称</w:t>
            </w:r>
          </w:p>
        </w:tc>
        <w:tc>
          <w:tcPr>
            <w:tcW w:w="25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8"/>
                <w:szCs w:val="28"/>
              </w:rPr>
              <w:t>实施要求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4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333333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38694-2020车辆右转弯提示音要求及试验方法</w:t>
            </w:r>
          </w:p>
        </w:tc>
        <w:tc>
          <w:tcPr>
            <w:tcW w:w="25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 7258-2017标准8.6.7条款规定：总质量大于或等于 12000kg 的货车应装备满足标准要求的车辆右转弯提示音系统。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4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38185-2019商用车辆电子稳定性控制系统性能要求及试验方法</w:t>
            </w:r>
          </w:p>
        </w:tc>
        <w:tc>
          <w:tcPr>
            <w:tcW w:w="25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 7258-2017标准4.17.4条款规定：车高大于或等于 3.7m 的未设置乘客站立区的客车应装备电子稳定性控制系统。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4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38186-2019商用车辆自动紧急制动系统（AEBS）性能要求及试验方法</w:t>
            </w:r>
          </w:p>
        </w:tc>
        <w:tc>
          <w:tcPr>
            <w:tcW w:w="25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 7258-2017标准4.17.3 条款规定：车长大于 11m 的公路客车和旅游客车应装备符合标准规定自动紧急制动系统。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4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6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38796-2020汽车爆胎应急安全装置性能要求和试验方法</w:t>
            </w:r>
          </w:p>
        </w:tc>
        <w:tc>
          <w:tcPr>
            <w:tcW w:w="259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按照GB7258-2017标准9.2.4条款规定：专用校车、车长大于 9m 的未设置乘客站立区的客车及总质量大于 3500kg 的危险货物运输货车的转向轮应装备轮胎爆胎应急防护装置。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4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38892-2020车载视频行驶记录系统</w:t>
            </w:r>
          </w:p>
        </w:tc>
        <w:tc>
          <w:tcPr>
            <w:tcW w:w="25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 7258-2017标准8.6.6条款规定：乘用车应配备符合GB 39732规定的事件数据记录系统(EDR);若配备了符合GB/T 38892规定的车载视频行驶记录系统,应视为满足要求。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 39732-2020汽车事件数据记录系统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按照GB 7258-2017标准8.6.5、8.6.6条款规定：乘用车应配备符合GB 39732规定的事件数据记录系统(EDR);若配备了符合GB/T 38892规定的车载视频行驶记录系统,应视为满足要求；车长小于 6m 的其他客车应装备符合GB/T 19056、GB 7258规定的行驶记录仪或符合标准规定的事件数据记录系统（EDR）。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E</w:t>
            </w: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>DR</w:t>
            </w: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对应的GB 39732-2020《汽车事件数据记录系统》和D</w:t>
            </w: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>VR</w:t>
            </w: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对应的GB/T 38892-2020《车载视频行驶记录系统》为独立的检验项目，企业可选择其中一项标准进行检验，并提供相应检验检测报告即可。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HJ 1137-2020甲醇燃料汽车非常规污染物排放测量方法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GB/T 39132-2020燃料电池电动汽车定型试验规程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该标准仅执行5.3.3.3条款。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2RmZmRkOWEzNmZiOTZkZWZiNzg5YmZjYzA4MTMifQ=="/>
  </w:docVars>
  <w:rsids>
    <w:rsidRoot w:val="09674330"/>
    <w:rsid w:val="096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2022-07-08T03:22:00Z</dcterms:created>
  <dc:creator>雪狼</dc:creator>
  <cp:lastModifiedBy>雪狼</cp:lastModifiedBy>
  <dcterms:modified xsi:type="dcterms:W3CDTF">2022-07-08T03:23:08Z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4D5748CB3DE644F4A4FE291BC20E8601</vt:lpwstr>
  </property>
</Properties>
</file>