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75" w:rsidRPr="007826D4" w:rsidRDefault="00345275" w:rsidP="00345275">
      <w:pPr>
        <w:widowControl/>
        <w:spacing w:line="540" w:lineRule="exact"/>
        <w:jc w:val="left"/>
        <w:rPr>
          <w:rFonts w:ascii="黑体" w:eastAsia="黑体"/>
          <w:sz w:val="32"/>
          <w:szCs w:val="32"/>
        </w:rPr>
      </w:pPr>
      <w:r w:rsidRPr="007826D4">
        <w:rPr>
          <w:rFonts w:ascii="黑体" w:eastAsia="黑体" w:hint="eastAsia"/>
          <w:sz w:val="32"/>
          <w:szCs w:val="32"/>
        </w:rPr>
        <w:t>附件</w:t>
      </w:r>
    </w:p>
    <w:p w:rsidR="00345275" w:rsidRDefault="00345275" w:rsidP="00345275">
      <w:pPr>
        <w:spacing w:line="540" w:lineRule="exact"/>
        <w:ind w:firstLine="630"/>
        <w:jc w:val="center"/>
        <w:rPr>
          <w:rFonts w:ascii="方正小标宋简体" w:eastAsia="方正小标宋简体" w:hint="eastAsia"/>
          <w:sz w:val="44"/>
          <w:szCs w:val="44"/>
        </w:rPr>
      </w:pPr>
      <w:r w:rsidRPr="00655CA4">
        <w:rPr>
          <w:rFonts w:ascii="方正小标宋简体" w:eastAsia="方正小标宋简体" w:hint="eastAsia"/>
          <w:sz w:val="44"/>
          <w:szCs w:val="44"/>
        </w:rPr>
        <w:t>第二批失效文件目录</w:t>
      </w:r>
    </w:p>
    <w:p w:rsidR="00345275" w:rsidRPr="00655CA4" w:rsidRDefault="00345275" w:rsidP="00345275">
      <w:pPr>
        <w:spacing w:line="540" w:lineRule="exact"/>
        <w:ind w:firstLine="630"/>
        <w:jc w:val="center"/>
        <w:rPr>
          <w:rFonts w:ascii="方正小标宋简体" w:eastAsia="方正小标宋简体"/>
          <w:sz w:val="44"/>
          <w:szCs w:val="44"/>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095"/>
        <w:gridCol w:w="1701"/>
        <w:gridCol w:w="1418"/>
      </w:tblGrid>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序号</w:t>
            </w:r>
          </w:p>
        </w:tc>
        <w:tc>
          <w:tcPr>
            <w:tcW w:w="6095"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文件名称</w:t>
            </w:r>
          </w:p>
        </w:tc>
        <w:tc>
          <w:tcPr>
            <w:tcW w:w="1701"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文号</w:t>
            </w:r>
          </w:p>
        </w:tc>
        <w:tc>
          <w:tcPr>
            <w:tcW w:w="141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发文日期</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w:t>
            </w:r>
          </w:p>
        </w:tc>
        <w:tc>
          <w:tcPr>
            <w:tcW w:w="6095" w:type="dxa"/>
            <w:vAlign w:val="center"/>
          </w:tcPr>
          <w:p w:rsidR="00345275" w:rsidRPr="00055971" w:rsidRDefault="00345275" w:rsidP="003B5357">
            <w:pPr>
              <w:widowControl/>
              <w:spacing w:line="320" w:lineRule="exac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关于印发《国家认监委认证认可专家咨询委员会第一次会议纪要》和《国家认监委认证认可专家咨询委员会章程》的函</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国认可函[2003]27号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20030220</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2</w:t>
            </w:r>
          </w:p>
        </w:tc>
        <w:tc>
          <w:tcPr>
            <w:tcW w:w="6095" w:type="dxa"/>
            <w:vAlign w:val="center"/>
          </w:tcPr>
          <w:p w:rsidR="00345275" w:rsidRPr="00055971" w:rsidRDefault="00345275" w:rsidP="003B5357">
            <w:pPr>
              <w:widowControl/>
              <w:spacing w:line="320" w:lineRule="exac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关于质量管理体系审核员建筑施工领域专业注册相关要求的通知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国认可[2012]49号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20120619</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3</w:t>
            </w:r>
          </w:p>
        </w:tc>
        <w:tc>
          <w:tcPr>
            <w:tcW w:w="6095" w:type="dxa"/>
            <w:vAlign w:val="center"/>
          </w:tcPr>
          <w:p w:rsidR="00345275" w:rsidRPr="00055971" w:rsidRDefault="00345275" w:rsidP="003B5357">
            <w:pPr>
              <w:widowControl/>
              <w:spacing w:line="320" w:lineRule="exac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关于请做好提交社会责任报告准备工作的通知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认办可函[2013]115号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20130603</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4</w:t>
            </w:r>
          </w:p>
        </w:tc>
        <w:tc>
          <w:tcPr>
            <w:tcW w:w="6095" w:type="dxa"/>
            <w:vAlign w:val="center"/>
          </w:tcPr>
          <w:p w:rsidR="00345275" w:rsidRPr="00055971" w:rsidRDefault="00345275" w:rsidP="003B5357">
            <w:pPr>
              <w:widowControl/>
              <w:spacing w:line="320" w:lineRule="exac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国家认监委关于发布自愿性认证业务分类目录及主要审批条件的公告</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公告2014年第38号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20141119</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5</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[国家认监委关于发布《饲料产品认证实施规则》的公告]</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公告2004年第11号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20040425</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6</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关于启用食品农产品认证信息系统的通知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国认注函[2006]194号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20060928</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7</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关于开展良好农业规范（GAP）认证试点有关要求的通知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认办注函[2006]100号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20060525</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8</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关于做好卫生注册登记企业产品说明书和生产加工工艺审核工作的通知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认办注[2007]56号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20071024</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9</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关于采取紧急措施切实加强输日食品生产企业卫生注册和监督管理工作的通知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国认注[2008]7号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20080219</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10</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关于进一步做好输美植物蛋白企业推荐和注册监管工作的通知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认办注函[2008]108号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20080516</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11</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国家认监委关于有机产品认证监管公告</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公告2010年第31号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20100727</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12</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关于做好指导对美国出口食品企业重新注册工作的通知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认办注函[2012]239号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20121017</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13</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关于进一步做好出口食品备案企业安全风险排查整治工作的通知</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认办注函[2012]194号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20120816</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14</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[关于公布良好实验室规范（GLP）及评价程序的有关文件的公告]</w:t>
            </w:r>
          </w:p>
        </w:tc>
        <w:tc>
          <w:tcPr>
            <w:tcW w:w="1701"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公告2008年第17号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20080616</w:t>
            </w:r>
          </w:p>
        </w:tc>
      </w:tr>
      <w:tr w:rsidR="00345275" w:rsidRPr="00055971" w:rsidTr="003B5357">
        <w:tc>
          <w:tcPr>
            <w:tcW w:w="568" w:type="dxa"/>
            <w:vAlign w:val="center"/>
          </w:tcPr>
          <w:p w:rsidR="00345275" w:rsidRPr="00055971" w:rsidRDefault="00345275" w:rsidP="003B5357">
            <w:pPr>
              <w:spacing w:line="320" w:lineRule="exact"/>
              <w:jc w:val="center"/>
              <w:rPr>
                <w:rFonts w:ascii="方正仿宋简体" w:eastAsia="方正仿宋简体" w:hint="eastAsia"/>
                <w:sz w:val="24"/>
              </w:rPr>
            </w:pPr>
            <w:r w:rsidRPr="00055971">
              <w:rPr>
                <w:rFonts w:ascii="方正仿宋简体" w:eastAsia="方正仿宋简体" w:hint="eastAsia"/>
                <w:sz w:val="24"/>
              </w:rPr>
              <w:t>15</w:t>
            </w:r>
          </w:p>
        </w:tc>
        <w:tc>
          <w:tcPr>
            <w:tcW w:w="6095" w:type="dxa"/>
            <w:vAlign w:val="center"/>
          </w:tcPr>
          <w:p w:rsidR="00345275" w:rsidRPr="00055971" w:rsidRDefault="00345275" w:rsidP="003B5357">
            <w:pPr>
              <w:widowControl/>
              <w:spacing w:line="320" w:lineRule="exact"/>
              <w:jc w:val="left"/>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国家认监委关于进一步加强食品检验机构资质认定及证后监督管理工作的通知</w:t>
            </w:r>
          </w:p>
        </w:tc>
        <w:tc>
          <w:tcPr>
            <w:tcW w:w="1701" w:type="dxa"/>
            <w:vAlign w:val="center"/>
          </w:tcPr>
          <w:p w:rsidR="00345275"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国认实</w:t>
            </w:r>
          </w:p>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〔2012〕79号</w:t>
            </w:r>
          </w:p>
        </w:tc>
        <w:tc>
          <w:tcPr>
            <w:tcW w:w="1418" w:type="dxa"/>
            <w:vAlign w:val="center"/>
          </w:tcPr>
          <w:p w:rsidR="00345275" w:rsidRPr="00055971" w:rsidRDefault="00345275" w:rsidP="003B5357">
            <w:pPr>
              <w:widowControl/>
              <w:spacing w:line="320" w:lineRule="exact"/>
              <w:jc w:val="center"/>
              <w:rPr>
                <w:rFonts w:ascii="方正仿宋简体" w:eastAsia="方正仿宋简体" w:hAnsi="宋体" w:cs="宋体" w:hint="eastAsia"/>
                <w:color w:val="000000"/>
                <w:kern w:val="0"/>
                <w:sz w:val="24"/>
              </w:rPr>
            </w:pPr>
            <w:r w:rsidRPr="00055971">
              <w:rPr>
                <w:rFonts w:ascii="方正仿宋简体" w:eastAsia="方正仿宋简体" w:hAnsi="宋体" w:cs="宋体" w:hint="eastAsia"/>
                <w:color w:val="000000"/>
                <w:kern w:val="0"/>
                <w:sz w:val="24"/>
              </w:rPr>
              <w:t>20121031</w:t>
            </w:r>
          </w:p>
        </w:tc>
      </w:tr>
    </w:tbl>
    <w:p w:rsidR="00345275" w:rsidRDefault="00345275" w:rsidP="00345275">
      <w:pPr>
        <w:jc w:val="left"/>
        <w:rPr>
          <w:rFonts w:ascii="方正仿宋简体" w:eastAsia="方正仿宋简体" w:hint="eastAsia"/>
          <w:sz w:val="32"/>
          <w:szCs w:val="32"/>
        </w:rPr>
      </w:pPr>
    </w:p>
    <w:p w:rsidR="00022724" w:rsidRDefault="00022724"/>
    <w:sectPr w:rsidR="00022724" w:rsidSect="00F8630B">
      <w:headerReference w:type="even" r:id="rId4"/>
      <w:headerReference w:type="default" r:id="rId5"/>
      <w:footerReference w:type="even" r:id="rId6"/>
      <w:footerReference w:type="default" r:id="rId7"/>
      <w:headerReference w:type="first" r:id="rId8"/>
      <w:footerReference w:type="first" r:id="rId9"/>
      <w:pgSz w:w="11906" w:h="16838" w:code="9"/>
      <w:pgMar w:top="1985" w:right="1474" w:bottom="1361" w:left="1474"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Pr="00791457" w:rsidRDefault="00345275" w:rsidP="00791457">
    <w:pPr>
      <w:pStyle w:val="a3"/>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Pr="0032140A">
      <w:rPr>
        <w:rFonts w:ascii="宋体" w:hAnsi="宋体"/>
        <w:noProof/>
        <w:sz w:val="28"/>
        <w:szCs w:val="28"/>
        <w:lang w:val="zh-CN"/>
      </w:rPr>
      <w:t>2</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5867FD" w:rsidRDefault="0034527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Pr="00AB095D" w:rsidRDefault="00345275" w:rsidP="00AB095D">
    <w:pPr>
      <w:pStyle w:val="a3"/>
      <w:jc w:val="right"/>
      <w:rPr>
        <w:rFonts w:ascii="宋体" w:hAnsi="宋体"/>
        <w:sz w:val="28"/>
        <w:szCs w:val="28"/>
      </w:rPr>
    </w:pPr>
    <w:r>
      <w:rPr>
        <w:rFonts w:ascii="宋体" w:hAnsi="宋体" w:hint="eastAsia"/>
        <w:sz w:val="28"/>
        <w:szCs w:val="28"/>
        <w:lang w:val="zh-CN"/>
      </w:rPr>
      <w:t>—</w:t>
    </w:r>
    <w:r w:rsidRPr="00AB095D">
      <w:rPr>
        <w:rFonts w:ascii="宋体" w:hAnsi="宋体"/>
        <w:sz w:val="28"/>
        <w:szCs w:val="28"/>
        <w:lang w:val="zh-CN"/>
      </w:rPr>
      <w:t xml:space="preserve"> </w:t>
    </w:r>
    <w:r w:rsidRPr="00AB095D">
      <w:rPr>
        <w:rFonts w:ascii="宋体" w:hAnsi="宋体"/>
        <w:sz w:val="28"/>
        <w:szCs w:val="28"/>
      </w:rPr>
      <w:fldChar w:fldCharType="begin"/>
    </w:r>
    <w:r w:rsidRPr="00AB095D">
      <w:rPr>
        <w:rFonts w:ascii="宋体" w:hAnsi="宋体"/>
        <w:sz w:val="28"/>
        <w:szCs w:val="28"/>
      </w:rPr>
      <w:instrText xml:space="preserve"> PAGE    \* MERGEFORMAT </w:instrText>
    </w:r>
    <w:r w:rsidRPr="00AB095D">
      <w:rPr>
        <w:rFonts w:ascii="宋体" w:hAnsi="宋体"/>
        <w:sz w:val="28"/>
        <w:szCs w:val="28"/>
      </w:rPr>
      <w:fldChar w:fldCharType="separate"/>
    </w:r>
    <w:r w:rsidRPr="005F6905">
      <w:rPr>
        <w:rFonts w:ascii="宋体" w:hAnsi="宋体"/>
        <w:noProof/>
        <w:sz w:val="28"/>
        <w:szCs w:val="28"/>
        <w:lang w:val="zh-CN"/>
      </w:rPr>
      <w:t>3</w:t>
    </w:r>
    <w:r w:rsidRPr="00AB095D">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5867FD" w:rsidRDefault="0034527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Pr="00791457" w:rsidRDefault="00345275" w:rsidP="00113640">
    <w:pPr>
      <w:pStyle w:val="a3"/>
      <w:jc w:val="right"/>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Pr="00345275">
      <w:rPr>
        <w:rFonts w:ascii="宋体" w:hAnsi="宋体"/>
        <w:noProof/>
        <w:sz w:val="28"/>
        <w:szCs w:val="28"/>
        <w:lang w:val="zh-CN"/>
      </w:rPr>
      <w:t>1</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5867FD" w:rsidRDefault="00345275">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Default="00345275" w:rsidP="002062D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Default="00345275" w:rsidP="006F202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FD" w:rsidRDefault="00345275" w:rsidP="00C0780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275"/>
    <w:rsid w:val="00022724"/>
    <w:rsid w:val="00345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45275"/>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345275"/>
    <w:rPr>
      <w:rFonts w:ascii="Times New Roman" w:eastAsia="宋体" w:hAnsi="Times New Roman" w:cs="Times New Roman"/>
      <w:sz w:val="18"/>
      <w:szCs w:val="18"/>
      <w:lang/>
    </w:rPr>
  </w:style>
  <w:style w:type="paragraph" w:styleId="a4">
    <w:name w:val="header"/>
    <w:basedOn w:val="a"/>
    <w:link w:val="Char0"/>
    <w:uiPriority w:val="99"/>
    <w:rsid w:val="00345275"/>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basedOn w:val="a0"/>
    <w:link w:val="a4"/>
    <w:uiPriority w:val="99"/>
    <w:rsid w:val="00345275"/>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2017-10-10T08:13:00Z</dcterms:created>
  <dcterms:modified xsi:type="dcterms:W3CDTF">2017-10-10T08:13:00Z</dcterms:modified>
</cp:coreProperties>
</file>