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78" w:leftChars="0" w:hanging="278" w:hangingChars="87"/>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p>
    <w:p>
      <w:pPr>
        <w:ind w:left="210" w:leftChars="100" w:firstLine="4800" w:firstLineChars="2000"/>
        <w:rPr>
          <w:rFonts w:hint="default" w:ascii="Times New Roman" w:hAnsi="Times New Roman" w:eastAsia="华文中宋" w:cs="Times New Roman"/>
          <w:sz w:val="24"/>
          <w:szCs w:val="24"/>
        </w:rPr>
      </w:pPr>
    </w:p>
    <w:p>
      <w:pPr>
        <w:ind w:firstLine="5120" w:firstLineChars="1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编号：CNCA-CGP-1</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：202</w:t>
      </w:r>
      <w:bookmarkStart w:id="43" w:name="_GoBack"/>
      <w:bookmarkEnd w:id="43"/>
      <w:r>
        <w:rPr>
          <w:rFonts w:hint="default" w:ascii="Times New Roman" w:hAnsi="Times New Roman" w:eastAsia="仿宋_GB2312" w:cs="Times New Roman"/>
          <w:sz w:val="32"/>
          <w:szCs w:val="32"/>
        </w:rPr>
        <w:t>3</w:t>
      </w:r>
    </w:p>
    <w:p>
      <w:pPr>
        <w:spacing w:before="120" w:after="120" w:line="360" w:lineRule="auto"/>
        <w:jc w:val="right"/>
        <w:rPr>
          <w:rFonts w:ascii="Times New Roman" w:hAnsi="Times New Roman" w:eastAsia="方正小标宋_GBK" w:cs="Times New Roman"/>
          <w:bCs/>
          <w:sz w:val="48"/>
          <w:szCs w:val="48"/>
        </w:rPr>
      </w:pPr>
    </w:p>
    <w:p>
      <w:pPr>
        <w:spacing w:line="60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绿色产品认证实施规则</w:t>
      </w:r>
    </w:p>
    <w:p>
      <w:pPr>
        <w:spacing w:line="60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家用燃气用具</w:t>
      </w:r>
    </w:p>
    <w:p>
      <w:pPr>
        <w:spacing w:before="624" w:line="520" w:lineRule="atLeast"/>
        <w:jc w:val="center"/>
        <w:rPr>
          <w:rFonts w:ascii="Times New Roman" w:hAnsi="Times New Roman" w:eastAsia="华文楷体" w:cs="Times New Roman"/>
          <w:b/>
          <w:bCs/>
          <w:sz w:val="44"/>
        </w:rPr>
      </w:pPr>
    </w:p>
    <w:p>
      <w:pPr>
        <w:spacing w:before="624" w:line="520" w:lineRule="atLeast"/>
        <w:rPr>
          <w:rFonts w:ascii="Times New Roman" w:hAnsi="Times New Roman" w:cs="Times New Roman"/>
          <w:b/>
          <w:bCs/>
          <w:sz w:val="44"/>
        </w:rPr>
      </w:pPr>
    </w:p>
    <w:p>
      <w:pPr>
        <w:spacing w:before="624" w:line="520" w:lineRule="atLeast"/>
        <w:rPr>
          <w:rFonts w:ascii="Times New Roman" w:hAnsi="Times New Roman" w:cs="Times New Roman"/>
          <w:b/>
          <w:bCs/>
          <w:sz w:val="44"/>
        </w:rPr>
      </w:pPr>
    </w:p>
    <w:p>
      <w:pPr>
        <w:spacing w:before="624" w:line="520" w:lineRule="atLeast"/>
        <w:rPr>
          <w:rFonts w:hint="default" w:ascii="Times New Roman" w:hAnsi="Times New Roman" w:eastAsia="仿宋_GB2312" w:cs="Times New Roman"/>
          <w:b/>
          <w:bCs/>
          <w:sz w:val="44"/>
        </w:rPr>
      </w:pPr>
    </w:p>
    <w:p>
      <w:pPr>
        <w:pStyle w:val="2"/>
        <w:rPr>
          <w:rFonts w:hint="default" w:ascii="Times New Roman" w:hAnsi="Times New Roman" w:eastAsia="仿宋_GB2312" w:cs="Times New Roman"/>
          <w:b/>
          <w:bCs/>
          <w:sz w:val="44"/>
        </w:rPr>
      </w:pPr>
    </w:p>
    <w:p>
      <w:pPr>
        <w:pStyle w:val="2"/>
        <w:rPr>
          <w:rFonts w:hint="default" w:ascii="Times New Roman" w:hAnsi="Times New Roman" w:eastAsia="仿宋_GB2312" w:cs="Times New Roman"/>
          <w:b/>
          <w:bCs/>
          <w:sz w:val="44"/>
        </w:rPr>
      </w:pPr>
    </w:p>
    <w:p>
      <w:pPr>
        <w:pStyle w:val="2"/>
        <w:rPr>
          <w:rFonts w:hint="default" w:ascii="Times New Roman" w:hAnsi="Times New Roman" w:eastAsia="仿宋_GB2312" w:cs="Times New Roman"/>
          <w:b/>
          <w:bCs/>
          <w:sz w:val="44"/>
        </w:rPr>
      </w:pPr>
    </w:p>
    <w:p>
      <w:pPr>
        <w:pStyle w:val="2"/>
        <w:rPr>
          <w:rFonts w:hint="default" w:ascii="Times New Roman" w:hAnsi="Times New Roman" w:eastAsia="仿宋_GB2312" w:cs="Times New Roman"/>
          <w:b/>
          <w:bCs/>
          <w:sz w:val="44"/>
        </w:rPr>
      </w:pPr>
    </w:p>
    <w:tbl>
      <w:tblPr>
        <w:tblStyle w:val="13"/>
        <w:tblW w:w="9356" w:type="dxa"/>
        <w:jc w:val="center"/>
        <w:tblBorders>
          <w:top w:val="none" w:color="auto" w:sz="0" w:space="0"/>
          <w:left w:val="none" w:color="auto" w:sz="0" w:space="0"/>
          <w:bottom w:val="single" w:color="auto" w:sz="8"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
      <w:tblGrid>
        <w:gridCol w:w="4643"/>
        <w:gridCol w:w="4713"/>
      </w:tblGrid>
      <w:tr>
        <w:tblPrEx>
          <w:tblBorders>
            <w:top w:val="none" w:color="auto" w:sz="0"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680" w:hRule="atLeast"/>
          <w:jc w:val="center"/>
        </w:trPr>
        <w:tc>
          <w:tcPr>
            <w:tcW w:w="4643" w:type="dxa"/>
            <w:tcBorders>
              <w:bottom w:val="single" w:color="auto" w:sz="8" w:space="0"/>
            </w:tcBorders>
            <w:vAlign w:val="center"/>
          </w:tcPr>
          <w:p>
            <w:pPr>
              <w:spacing w:line="520" w:lineRule="atLeas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w:t>
            </w:r>
            <w:r>
              <w:rPr>
                <w:rFonts w:hint="eastAsia" w:eastAsia="仿宋_GB2312" w:cs="Times New Roman"/>
                <w:sz w:val="32"/>
                <w:szCs w:val="32"/>
                <w:lang w:val="en-US" w:eastAsia="zh-CN"/>
              </w:rPr>
              <w:t>8</w:t>
            </w:r>
            <w:r>
              <w:rPr>
                <w:rFonts w:hint="default" w:ascii="Times New Roman" w:hAnsi="Times New Roman" w:eastAsia="仿宋_GB2312" w:cs="Times New Roman"/>
                <w:sz w:val="32"/>
                <w:szCs w:val="32"/>
              </w:rPr>
              <w:t>月</w:t>
            </w:r>
            <w:r>
              <w:rPr>
                <w:rFonts w:hint="eastAsia" w:eastAsia="仿宋_GB2312" w:cs="Times New Roman"/>
                <w:sz w:val="32"/>
                <w:szCs w:val="32"/>
                <w:lang w:val="en-US" w:eastAsia="zh-CN"/>
              </w:rPr>
              <w:t>10</w:t>
            </w:r>
            <w:r>
              <w:rPr>
                <w:rFonts w:hint="default" w:ascii="Times New Roman" w:hAnsi="Times New Roman" w:eastAsia="仿宋_GB2312" w:cs="Times New Roman"/>
                <w:sz w:val="32"/>
                <w:szCs w:val="32"/>
              </w:rPr>
              <w:t>日发布</w:t>
            </w:r>
          </w:p>
        </w:tc>
        <w:tc>
          <w:tcPr>
            <w:tcW w:w="4713" w:type="dxa"/>
            <w:tcBorders>
              <w:bottom w:val="single" w:color="auto" w:sz="8" w:space="0"/>
            </w:tcBorders>
            <w:vAlign w:val="center"/>
          </w:tcPr>
          <w:p>
            <w:pPr>
              <w:spacing w:line="520" w:lineRule="atLeas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2023年</w:t>
            </w:r>
            <w:r>
              <w:rPr>
                <w:rFonts w:hint="eastAsia" w:eastAsia="仿宋_GB2312" w:cs="Times New Roman"/>
                <w:sz w:val="32"/>
                <w:szCs w:val="32"/>
                <w:lang w:val="en-US" w:eastAsia="zh-CN"/>
              </w:rPr>
              <w:t>8</w:t>
            </w:r>
            <w:r>
              <w:rPr>
                <w:rFonts w:hint="default" w:ascii="Times New Roman" w:hAnsi="Times New Roman" w:eastAsia="仿宋_GB2312" w:cs="Times New Roman"/>
                <w:sz w:val="32"/>
                <w:szCs w:val="32"/>
              </w:rPr>
              <w:t>月</w:t>
            </w:r>
            <w:r>
              <w:rPr>
                <w:rFonts w:hint="eastAsia" w:eastAsia="仿宋_GB2312" w:cs="Times New Roman"/>
                <w:sz w:val="32"/>
                <w:szCs w:val="32"/>
                <w:lang w:val="en-US" w:eastAsia="zh-CN"/>
              </w:rPr>
              <w:t>10</w:t>
            </w:r>
            <w:r>
              <w:rPr>
                <w:rFonts w:hint="default" w:ascii="Times New Roman" w:hAnsi="Times New Roman" w:eastAsia="仿宋_GB2312" w:cs="Times New Roman"/>
                <w:sz w:val="32"/>
                <w:szCs w:val="32"/>
              </w:rPr>
              <w:t xml:space="preserve">日实施        </w:t>
            </w:r>
          </w:p>
        </w:tc>
      </w:tr>
      <w:tr>
        <w:tblPrEx>
          <w:tblBorders>
            <w:top w:val="none" w:color="auto" w:sz="0"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680" w:hRule="atLeast"/>
          <w:jc w:val="center"/>
        </w:trPr>
        <w:tc>
          <w:tcPr>
            <w:tcW w:w="9356" w:type="dxa"/>
            <w:gridSpan w:val="2"/>
            <w:tcBorders>
              <w:top w:val="single" w:color="auto" w:sz="8" w:space="0"/>
              <w:bottom w:val="nil"/>
            </w:tcBorders>
            <w:vAlign w:val="center"/>
          </w:tcPr>
          <w:p>
            <w:pPr>
              <w:spacing w:before="624" w:line="520" w:lineRule="atLeast"/>
              <w:jc w:val="center"/>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国家认证认可监督管理委员会   发布</w:t>
            </w:r>
          </w:p>
        </w:tc>
      </w:tr>
    </w:tbl>
    <w:p>
      <w:pPr>
        <w:pStyle w:val="10"/>
        <w:rPr>
          <w:rFonts w:ascii="Times New Roman" w:hAnsi="Times New Roman" w:eastAsia="仿宋"/>
          <w:color w:val="auto"/>
          <w:sz w:val="44"/>
          <w:szCs w:val="44"/>
        </w:rPr>
      </w:pPr>
      <w:r>
        <w:rPr>
          <w:rFonts w:ascii="Times New Roman" w:hAnsi="Times New Roman" w:eastAsia="仿宋"/>
          <w:color w:val="auto"/>
          <w:sz w:val="44"/>
          <w:szCs w:val="44"/>
        </w:rPr>
        <w:t>目  录</w:t>
      </w:r>
    </w:p>
    <w:p/>
    <w:p>
      <w:pPr>
        <w:pStyle w:val="10"/>
        <w:rPr>
          <w:rFonts w:asciiTheme="minorHAnsi" w:hAnsiTheme="minorHAnsi" w:eastAsiaTheme="minorEastAsia" w:cstheme="minorBidi"/>
          <w:bCs w:val="0"/>
          <w:color w:val="auto"/>
          <w:sz w:val="21"/>
          <w:szCs w:val="22"/>
        </w:rPr>
      </w:pPr>
      <w:r>
        <w:rPr>
          <w:rFonts w:ascii="Times New Roman" w:hAnsi="Times New Roman" w:eastAsia="仿宋"/>
          <w:color w:val="auto"/>
        </w:rPr>
        <w:fldChar w:fldCharType="begin"/>
      </w:r>
      <w:r>
        <w:rPr>
          <w:rFonts w:ascii="Times New Roman" w:hAnsi="Times New Roman" w:eastAsia="仿宋"/>
          <w:color w:val="auto"/>
        </w:rPr>
        <w:instrText xml:space="preserve">TOC \o "1-1" \h \z \u</w:instrText>
      </w:r>
      <w:r>
        <w:rPr>
          <w:rFonts w:ascii="Times New Roman" w:hAnsi="Times New Roman" w:eastAsia="仿宋"/>
          <w:color w:val="auto"/>
        </w:rPr>
        <w:fldChar w:fldCharType="separate"/>
      </w:r>
      <w:r>
        <w:fldChar w:fldCharType="begin"/>
      </w:r>
      <w:r>
        <w:instrText xml:space="preserve"> HYPERLINK \l "_Toc139895832" </w:instrText>
      </w:r>
      <w:r>
        <w:fldChar w:fldCharType="separate"/>
      </w:r>
      <w:r>
        <w:rPr>
          <w:rStyle w:val="17"/>
          <w:rFonts w:eastAsia="仿宋_GB2312"/>
        </w:rPr>
        <w:t xml:space="preserve">1 </w:t>
      </w:r>
      <w:r>
        <w:rPr>
          <w:rStyle w:val="17"/>
          <w:rFonts w:hint="eastAsia" w:eastAsia="仿宋_GB2312"/>
        </w:rPr>
        <w:t>适用范围</w:t>
      </w:r>
      <w:r>
        <w:tab/>
      </w:r>
      <w:r>
        <w:fldChar w:fldCharType="begin"/>
      </w:r>
      <w:r>
        <w:instrText xml:space="preserve"> PAGEREF _Toc139895832 \h </w:instrText>
      </w:r>
      <w:r>
        <w:fldChar w:fldCharType="separate"/>
      </w:r>
      <w:r>
        <w:t>1</w:t>
      </w:r>
      <w:r>
        <w:fldChar w:fldCharType="end"/>
      </w:r>
      <w:r>
        <w:fldChar w:fldCharType="end"/>
      </w:r>
    </w:p>
    <w:p>
      <w:pPr>
        <w:pStyle w:val="10"/>
        <w:rPr>
          <w:rFonts w:asciiTheme="minorHAnsi" w:hAnsiTheme="minorHAnsi" w:eastAsiaTheme="minorEastAsia" w:cstheme="minorBidi"/>
          <w:bCs w:val="0"/>
          <w:color w:val="auto"/>
          <w:sz w:val="21"/>
          <w:szCs w:val="22"/>
        </w:rPr>
      </w:pPr>
      <w:r>
        <w:fldChar w:fldCharType="begin"/>
      </w:r>
      <w:r>
        <w:instrText xml:space="preserve"> HYPERLINK \l "_Toc139895833" </w:instrText>
      </w:r>
      <w:r>
        <w:fldChar w:fldCharType="separate"/>
      </w:r>
      <w:r>
        <w:rPr>
          <w:rStyle w:val="17"/>
          <w:rFonts w:eastAsia="仿宋_GB2312"/>
        </w:rPr>
        <w:t>2</w:t>
      </w:r>
      <w:r>
        <w:rPr>
          <w:rStyle w:val="17"/>
          <w:rFonts w:hint="eastAsia" w:eastAsia="仿宋_GB2312"/>
        </w:rPr>
        <w:t>认证依据标准</w:t>
      </w:r>
      <w:r>
        <w:tab/>
      </w:r>
      <w:r>
        <w:fldChar w:fldCharType="begin"/>
      </w:r>
      <w:r>
        <w:instrText xml:space="preserve"> PAGEREF _Toc139895833 \h </w:instrText>
      </w:r>
      <w:r>
        <w:fldChar w:fldCharType="separate"/>
      </w:r>
      <w:r>
        <w:t>1</w:t>
      </w:r>
      <w:r>
        <w:fldChar w:fldCharType="end"/>
      </w:r>
      <w:r>
        <w:fldChar w:fldCharType="end"/>
      </w:r>
    </w:p>
    <w:p>
      <w:pPr>
        <w:pStyle w:val="10"/>
        <w:rPr>
          <w:rFonts w:asciiTheme="minorHAnsi" w:hAnsiTheme="minorHAnsi" w:eastAsiaTheme="minorEastAsia" w:cstheme="minorBidi"/>
          <w:bCs w:val="0"/>
          <w:color w:val="auto"/>
          <w:sz w:val="21"/>
          <w:szCs w:val="22"/>
        </w:rPr>
      </w:pPr>
      <w:r>
        <w:fldChar w:fldCharType="begin"/>
      </w:r>
      <w:r>
        <w:instrText xml:space="preserve"> HYPERLINK \l "_Toc139895834" </w:instrText>
      </w:r>
      <w:r>
        <w:fldChar w:fldCharType="separate"/>
      </w:r>
      <w:r>
        <w:rPr>
          <w:rStyle w:val="17"/>
          <w:rFonts w:eastAsia="仿宋_GB2312"/>
        </w:rPr>
        <w:t xml:space="preserve">3 </w:t>
      </w:r>
      <w:r>
        <w:rPr>
          <w:rStyle w:val="17"/>
          <w:rFonts w:hint="eastAsia" w:eastAsia="仿宋_GB2312"/>
        </w:rPr>
        <w:t>认证模式</w:t>
      </w:r>
      <w:r>
        <w:tab/>
      </w:r>
      <w:r>
        <w:fldChar w:fldCharType="begin"/>
      </w:r>
      <w:r>
        <w:instrText xml:space="preserve"> PAGEREF _Toc139895834 \h </w:instrText>
      </w:r>
      <w:r>
        <w:fldChar w:fldCharType="separate"/>
      </w:r>
      <w:r>
        <w:t>1</w:t>
      </w:r>
      <w:r>
        <w:fldChar w:fldCharType="end"/>
      </w:r>
      <w:r>
        <w:fldChar w:fldCharType="end"/>
      </w:r>
    </w:p>
    <w:p>
      <w:pPr>
        <w:pStyle w:val="10"/>
        <w:rPr>
          <w:rFonts w:asciiTheme="minorHAnsi" w:hAnsiTheme="minorHAnsi" w:eastAsiaTheme="minorEastAsia" w:cstheme="minorBidi"/>
          <w:bCs w:val="0"/>
          <w:color w:val="auto"/>
          <w:sz w:val="21"/>
          <w:szCs w:val="22"/>
        </w:rPr>
      </w:pPr>
      <w:r>
        <w:fldChar w:fldCharType="begin"/>
      </w:r>
      <w:r>
        <w:instrText xml:space="preserve"> HYPERLINK \l "_Toc139895835" </w:instrText>
      </w:r>
      <w:r>
        <w:fldChar w:fldCharType="separate"/>
      </w:r>
      <w:r>
        <w:rPr>
          <w:rStyle w:val="17"/>
          <w:rFonts w:eastAsia="仿宋_GB2312"/>
        </w:rPr>
        <w:t>4</w:t>
      </w:r>
      <w:r>
        <w:rPr>
          <w:rStyle w:val="17"/>
          <w:rFonts w:hint="eastAsia" w:eastAsia="仿宋_GB2312"/>
        </w:rPr>
        <w:t>认证委托</w:t>
      </w:r>
      <w:r>
        <w:tab/>
      </w:r>
      <w:r>
        <w:fldChar w:fldCharType="begin"/>
      </w:r>
      <w:r>
        <w:instrText xml:space="preserve"> PAGEREF _Toc139895835 \h </w:instrText>
      </w:r>
      <w:r>
        <w:fldChar w:fldCharType="separate"/>
      </w:r>
      <w:r>
        <w:t>1</w:t>
      </w:r>
      <w:r>
        <w:fldChar w:fldCharType="end"/>
      </w:r>
      <w:r>
        <w:fldChar w:fldCharType="end"/>
      </w:r>
    </w:p>
    <w:p>
      <w:pPr>
        <w:pStyle w:val="10"/>
        <w:rPr>
          <w:rFonts w:asciiTheme="minorHAnsi" w:hAnsiTheme="minorHAnsi" w:eastAsiaTheme="minorEastAsia" w:cstheme="minorBidi"/>
          <w:bCs w:val="0"/>
          <w:color w:val="auto"/>
          <w:sz w:val="21"/>
          <w:szCs w:val="22"/>
        </w:rPr>
      </w:pPr>
      <w:r>
        <w:fldChar w:fldCharType="begin"/>
      </w:r>
      <w:r>
        <w:instrText xml:space="preserve"> HYPERLINK \l "_Toc139895836" </w:instrText>
      </w:r>
      <w:r>
        <w:fldChar w:fldCharType="separate"/>
      </w:r>
      <w:r>
        <w:rPr>
          <w:rStyle w:val="17"/>
          <w:rFonts w:eastAsia="仿宋_GB2312"/>
        </w:rPr>
        <w:t xml:space="preserve">5 </w:t>
      </w:r>
      <w:r>
        <w:rPr>
          <w:rStyle w:val="17"/>
          <w:rFonts w:hint="eastAsia" w:eastAsia="仿宋_GB2312"/>
        </w:rPr>
        <w:t>产品检测</w:t>
      </w:r>
      <w:r>
        <w:tab/>
      </w:r>
      <w:r>
        <w:fldChar w:fldCharType="begin"/>
      </w:r>
      <w:r>
        <w:instrText xml:space="preserve"> PAGEREF _Toc139895836 \h </w:instrText>
      </w:r>
      <w:r>
        <w:fldChar w:fldCharType="separate"/>
      </w:r>
      <w:r>
        <w:t>2</w:t>
      </w:r>
      <w:r>
        <w:fldChar w:fldCharType="end"/>
      </w:r>
      <w:r>
        <w:fldChar w:fldCharType="end"/>
      </w:r>
    </w:p>
    <w:p>
      <w:pPr>
        <w:pStyle w:val="10"/>
        <w:rPr>
          <w:rFonts w:asciiTheme="minorHAnsi" w:hAnsiTheme="minorHAnsi" w:eastAsiaTheme="minorEastAsia" w:cstheme="minorBidi"/>
          <w:bCs w:val="0"/>
          <w:color w:val="auto"/>
          <w:sz w:val="21"/>
          <w:szCs w:val="22"/>
        </w:rPr>
      </w:pPr>
      <w:r>
        <w:fldChar w:fldCharType="begin"/>
      </w:r>
      <w:r>
        <w:instrText xml:space="preserve"> HYPERLINK \l "_Toc139895837" </w:instrText>
      </w:r>
      <w:r>
        <w:fldChar w:fldCharType="separate"/>
      </w:r>
      <w:r>
        <w:rPr>
          <w:rStyle w:val="17"/>
          <w:rFonts w:eastAsia="仿宋_GB2312"/>
        </w:rPr>
        <w:t xml:space="preserve">6 </w:t>
      </w:r>
      <w:r>
        <w:rPr>
          <w:rStyle w:val="17"/>
          <w:rFonts w:hint="eastAsia" w:eastAsia="仿宋_GB2312"/>
        </w:rPr>
        <w:t>初始检查</w:t>
      </w:r>
      <w:r>
        <w:tab/>
      </w:r>
      <w:r>
        <w:fldChar w:fldCharType="begin"/>
      </w:r>
      <w:r>
        <w:instrText xml:space="preserve"> PAGEREF _Toc139895837 \h </w:instrText>
      </w:r>
      <w:r>
        <w:fldChar w:fldCharType="separate"/>
      </w:r>
      <w:r>
        <w:t>3</w:t>
      </w:r>
      <w:r>
        <w:fldChar w:fldCharType="end"/>
      </w:r>
      <w:r>
        <w:fldChar w:fldCharType="end"/>
      </w:r>
    </w:p>
    <w:p>
      <w:pPr>
        <w:pStyle w:val="10"/>
        <w:rPr>
          <w:rFonts w:asciiTheme="minorHAnsi" w:hAnsiTheme="minorHAnsi" w:eastAsiaTheme="minorEastAsia" w:cstheme="minorBidi"/>
          <w:bCs w:val="0"/>
          <w:color w:val="auto"/>
          <w:sz w:val="21"/>
          <w:szCs w:val="22"/>
        </w:rPr>
      </w:pPr>
      <w:r>
        <w:fldChar w:fldCharType="begin"/>
      </w:r>
      <w:r>
        <w:instrText xml:space="preserve"> HYPERLINK \l "_Toc139895838" </w:instrText>
      </w:r>
      <w:r>
        <w:fldChar w:fldCharType="separate"/>
      </w:r>
      <w:r>
        <w:rPr>
          <w:rStyle w:val="17"/>
          <w:rFonts w:eastAsia="仿宋_GB2312"/>
        </w:rPr>
        <w:t xml:space="preserve">7 </w:t>
      </w:r>
      <w:r>
        <w:rPr>
          <w:rStyle w:val="17"/>
          <w:rFonts w:hint="eastAsia" w:eastAsia="仿宋_GB2312"/>
        </w:rPr>
        <w:t>认证结果评价与批准</w:t>
      </w:r>
      <w:r>
        <w:tab/>
      </w:r>
      <w:r>
        <w:fldChar w:fldCharType="begin"/>
      </w:r>
      <w:r>
        <w:instrText xml:space="preserve"> PAGEREF _Toc139895838 \h </w:instrText>
      </w:r>
      <w:r>
        <w:fldChar w:fldCharType="separate"/>
      </w:r>
      <w:r>
        <w:t>3</w:t>
      </w:r>
      <w:r>
        <w:fldChar w:fldCharType="end"/>
      </w:r>
      <w:r>
        <w:fldChar w:fldCharType="end"/>
      </w:r>
    </w:p>
    <w:p>
      <w:pPr>
        <w:pStyle w:val="10"/>
        <w:rPr>
          <w:rFonts w:asciiTheme="minorHAnsi" w:hAnsiTheme="minorHAnsi" w:eastAsiaTheme="minorEastAsia" w:cstheme="minorBidi"/>
          <w:bCs w:val="0"/>
          <w:color w:val="auto"/>
          <w:sz w:val="21"/>
          <w:szCs w:val="22"/>
        </w:rPr>
      </w:pPr>
      <w:r>
        <w:fldChar w:fldCharType="begin"/>
      </w:r>
      <w:r>
        <w:instrText xml:space="preserve"> HYPERLINK \l "_Toc139895839" </w:instrText>
      </w:r>
      <w:r>
        <w:fldChar w:fldCharType="separate"/>
      </w:r>
      <w:r>
        <w:rPr>
          <w:rStyle w:val="17"/>
          <w:rFonts w:eastAsia="仿宋_GB2312"/>
        </w:rPr>
        <w:t xml:space="preserve">8 </w:t>
      </w:r>
      <w:r>
        <w:rPr>
          <w:rStyle w:val="17"/>
          <w:rFonts w:hint="eastAsia" w:eastAsia="仿宋_GB2312"/>
        </w:rPr>
        <w:t>认证时限</w:t>
      </w:r>
      <w:r>
        <w:tab/>
      </w:r>
      <w:r>
        <w:fldChar w:fldCharType="begin"/>
      </w:r>
      <w:r>
        <w:instrText xml:space="preserve"> PAGEREF _Toc139895839 \h </w:instrText>
      </w:r>
      <w:r>
        <w:fldChar w:fldCharType="separate"/>
      </w:r>
      <w:r>
        <w:t>4</w:t>
      </w:r>
      <w:r>
        <w:fldChar w:fldCharType="end"/>
      </w:r>
      <w:r>
        <w:fldChar w:fldCharType="end"/>
      </w:r>
    </w:p>
    <w:p>
      <w:pPr>
        <w:pStyle w:val="10"/>
        <w:rPr>
          <w:rFonts w:asciiTheme="minorHAnsi" w:hAnsiTheme="minorHAnsi" w:eastAsiaTheme="minorEastAsia" w:cstheme="minorBidi"/>
          <w:bCs w:val="0"/>
          <w:color w:val="auto"/>
          <w:sz w:val="21"/>
          <w:szCs w:val="22"/>
        </w:rPr>
      </w:pPr>
      <w:r>
        <w:fldChar w:fldCharType="begin"/>
      </w:r>
      <w:r>
        <w:instrText xml:space="preserve"> HYPERLINK \l "_Toc139895840" </w:instrText>
      </w:r>
      <w:r>
        <w:fldChar w:fldCharType="separate"/>
      </w:r>
      <w:r>
        <w:rPr>
          <w:rStyle w:val="17"/>
          <w:rFonts w:eastAsia="仿宋_GB2312"/>
        </w:rPr>
        <w:t xml:space="preserve">9 </w:t>
      </w:r>
      <w:r>
        <w:rPr>
          <w:rStyle w:val="17"/>
          <w:rFonts w:hint="eastAsia" w:eastAsia="仿宋_GB2312"/>
        </w:rPr>
        <w:t>获证后的监督</w:t>
      </w:r>
      <w:r>
        <w:tab/>
      </w:r>
      <w:r>
        <w:fldChar w:fldCharType="begin"/>
      </w:r>
      <w:r>
        <w:instrText xml:space="preserve"> PAGEREF _Toc139895840 \h </w:instrText>
      </w:r>
      <w:r>
        <w:fldChar w:fldCharType="separate"/>
      </w:r>
      <w:r>
        <w:t>4</w:t>
      </w:r>
      <w:r>
        <w:fldChar w:fldCharType="end"/>
      </w:r>
      <w:r>
        <w:fldChar w:fldCharType="end"/>
      </w:r>
    </w:p>
    <w:p>
      <w:pPr>
        <w:pStyle w:val="10"/>
        <w:rPr>
          <w:rFonts w:asciiTheme="minorHAnsi" w:hAnsiTheme="minorHAnsi" w:eastAsiaTheme="minorEastAsia" w:cstheme="minorBidi"/>
          <w:bCs w:val="0"/>
          <w:color w:val="auto"/>
          <w:sz w:val="21"/>
          <w:szCs w:val="22"/>
        </w:rPr>
      </w:pPr>
      <w:r>
        <w:fldChar w:fldCharType="begin"/>
      </w:r>
      <w:r>
        <w:instrText xml:space="preserve"> HYPERLINK \l "_Toc139895841" </w:instrText>
      </w:r>
      <w:r>
        <w:fldChar w:fldCharType="separate"/>
      </w:r>
      <w:r>
        <w:rPr>
          <w:rStyle w:val="17"/>
          <w:rFonts w:eastAsia="仿宋_GB2312"/>
        </w:rPr>
        <w:t xml:space="preserve">10 </w:t>
      </w:r>
      <w:r>
        <w:rPr>
          <w:rStyle w:val="17"/>
          <w:rFonts w:hint="eastAsia" w:eastAsia="仿宋_GB2312"/>
        </w:rPr>
        <w:t>认证证书</w:t>
      </w:r>
      <w:r>
        <w:tab/>
      </w:r>
      <w:r>
        <w:fldChar w:fldCharType="begin"/>
      </w:r>
      <w:r>
        <w:instrText xml:space="preserve"> PAGEREF _Toc139895841 \h </w:instrText>
      </w:r>
      <w:r>
        <w:fldChar w:fldCharType="separate"/>
      </w:r>
      <w:r>
        <w:t>5</w:t>
      </w:r>
      <w:r>
        <w:fldChar w:fldCharType="end"/>
      </w:r>
      <w:r>
        <w:fldChar w:fldCharType="end"/>
      </w:r>
    </w:p>
    <w:p>
      <w:pPr>
        <w:pStyle w:val="10"/>
        <w:rPr>
          <w:rFonts w:asciiTheme="minorHAnsi" w:hAnsiTheme="minorHAnsi" w:eastAsiaTheme="minorEastAsia" w:cstheme="minorBidi"/>
          <w:bCs w:val="0"/>
          <w:color w:val="auto"/>
          <w:sz w:val="21"/>
          <w:szCs w:val="22"/>
        </w:rPr>
      </w:pPr>
      <w:r>
        <w:fldChar w:fldCharType="begin"/>
      </w:r>
      <w:r>
        <w:instrText xml:space="preserve"> HYPERLINK \l "_Toc139895842" </w:instrText>
      </w:r>
      <w:r>
        <w:fldChar w:fldCharType="separate"/>
      </w:r>
      <w:r>
        <w:rPr>
          <w:rStyle w:val="17"/>
          <w:rFonts w:eastAsia="仿宋_GB2312"/>
        </w:rPr>
        <w:t xml:space="preserve">11 </w:t>
      </w:r>
      <w:r>
        <w:rPr>
          <w:rStyle w:val="17"/>
          <w:rFonts w:hint="eastAsia" w:eastAsia="仿宋_GB2312"/>
        </w:rPr>
        <w:t>认证标识的使用</w:t>
      </w:r>
      <w:r>
        <w:tab/>
      </w:r>
      <w:r>
        <w:fldChar w:fldCharType="begin"/>
      </w:r>
      <w:r>
        <w:instrText xml:space="preserve"> PAGEREF _Toc139895842 \h </w:instrText>
      </w:r>
      <w:r>
        <w:fldChar w:fldCharType="separate"/>
      </w:r>
      <w:r>
        <w:t>7</w:t>
      </w:r>
      <w:r>
        <w:fldChar w:fldCharType="end"/>
      </w:r>
      <w:r>
        <w:fldChar w:fldCharType="end"/>
      </w:r>
    </w:p>
    <w:p>
      <w:pPr>
        <w:pStyle w:val="10"/>
        <w:rPr>
          <w:rFonts w:asciiTheme="minorHAnsi" w:hAnsiTheme="minorHAnsi" w:eastAsiaTheme="minorEastAsia" w:cstheme="minorBidi"/>
          <w:bCs w:val="0"/>
          <w:color w:val="auto"/>
          <w:sz w:val="21"/>
          <w:szCs w:val="22"/>
        </w:rPr>
      </w:pPr>
      <w:r>
        <w:fldChar w:fldCharType="begin"/>
      </w:r>
      <w:r>
        <w:instrText xml:space="preserve"> HYPERLINK \l "_Toc139895843" </w:instrText>
      </w:r>
      <w:r>
        <w:fldChar w:fldCharType="separate"/>
      </w:r>
      <w:r>
        <w:rPr>
          <w:rStyle w:val="17"/>
          <w:rFonts w:eastAsia="仿宋_GB2312"/>
        </w:rPr>
        <w:t xml:space="preserve">12 </w:t>
      </w:r>
      <w:r>
        <w:rPr>
          <w:rStyle w:val="17"/>
          <w:rFonts w:hint="eastAsia" w:eastAsia="仿宋_GB2312"/>
        </w:rPr>
        <w:t>收费</w:t>
      </w:r>
      <w:r>
        <w:tab/>
      </w:r>
      <w:r>
        <w:fldChar w:fldCharType="begin"/>
      </w:r>
      <w:r>
        <w:instrText xml:space="preserve"> PAGEREF _Toc139895843 \h </w:instrText>
      </w:r>
      <w:r>
        <w:fldChar w:fldCharType="separate"/>
      </w:r>
      <w:r>
        <w:t>7</w:t>
      </w:r>
      <w:r>
        <w:fldChar w:fldCharType="end"/>
      </w:r>
      <w:r>
        <w:fldChar w:fldCharType="end"/>
      </w:r>
    </w:p>
    <w:p>
      <w:pPr>
        <w:pStyle w:val="10"/>
        <w:rPr>
          <w:rFonts w:asciiTheme="minorHAnsi" w:hAnsiTheme="minorHAnsi" w:eastAsiaTheme="minorEastAsia" w:cstheme="minorBidi"/>
          <w:bCs w:val="0"/>
          <w:color w:val="auto"/>
          <w:sz w:val="21"/>
          <w:szCs w:val="22"/>
        </w:rPr>
      </w:pPr>
      <w:r>
        <w:fldChar w:fldCharType="begin"/>
      </w:r>
      <w:r>
        <w:instrText xml:space="preserve"> HYPERLINK \l "_Toc139895844" </w:instrText>
      </w:r>
      <w:r>
        <w:fldChar w:fldCharType="separate"/>
      </w:r>
      <w:r>
        <w:rPr>
          <w:rStyle w:val="17"/>
          <w:rFonts w:eastAsia="仿宋_GB2312"/>
        </w:rPr>
        <w:t>13</w:t>
      </w:r>
      <w:r>
        <w:rPr>
          <w:rStyle w:val="17"/>
          <w:rFonts w:hint="eastAsia" w:eastAsia="仿宋_GB2312"/>
        </w:rPr>
        <w:t>其他合格评定结果的采信</w:t>
      </w:r>
      <w:r>
        <w:tab/>
      </w:r>
      <w:r>
        <w:fldChar w:fldCharType="begin"/>
      </w:r>
      <w:r>
        <w:instrText xml:space="preserve"> PAGEREF _Toc139895844 \h </w:instrText>
      </w:r>
      <w:r>
        <w:fldChar w:fldCharType="separate"/>
      </w:r>
      <w:r>
        <w:t>7</w:t>
      </w:r>
      <w:r>
        <w:fldChar w:fldCharType="end"/>
      </w:r>
      <w:r>
        <w:fldChar w:fldCharType="end"/>
      </w:r>
    </w:p>
    <w:p>
      <w:pPr>
        <w:pStyle w:val="10"/>
        <w:rPr>
          <w:rFonts w:asciiTheme="minorHAnsi" w:hAnsiTheme="minorHAnsi" w:eastAsiaTheme="minorEastAsia" w:cstheme="minorBidi"/>
          <w:bCs w:val="0"/>
          <w:color w:val="auto"/>
          <w:sz w:val="21"/>
          <w:szCs w:val="22"/>
        </w:rPr>
      </w:pPr>
      <w:r>
        <w:fldChar w:fldCharType="begin"/>
      </w:r>
      <w:r>
        <w:instrText xml:space="preserve"> HYPERLINK \l "_Toc139895846" </w:instrText>
      </w:r>
      <w:r>
        <w:fldChar w:fldCharType="separate"/>
      </w:r>
      <w:r>
        <w:rPr>
          <w:rStyle w:val="17"/>
          <w:rFonts w:eastAsia="仿宋_GB2312"/>
        </w:rPr>
        <w:t xml:space="preserve">14 </w:t>
      </w:r>
      <w:r>
        <w:rPr>
          <w:rStyle w:val="17"/>
          <w:rFonts w:hint="eastAsia" w:eastAsia="仿宋_GB2312"/>
        </w:rPr>
        <w:t>认证实施细则</w:t>
      </w:r>
      <w:r>
        <w:tab/>
      </w:r>
      <w:r>
        <w:fldChar w:fldCharType="begin"/>
      </w:r>
      <w:r>
        <w:instrText xml:space="preserve"> PAGEREF _Toc139895846 \h </w:instrText>
      </w:r>
      <w:r>
        <w:fldChar w:fldCharType="separate"/>
      </w:r>
      <w:r>
        <w:t>7</w:t>
      </w:r>
      <w:r>
        <w:fldChar w:fldCharType="end"/>
      </w:r>
      <w:r>
        <w:fldChar w:fldCharType="end"/>
      </w:r>
    </w:p>
    <w:p>
      <w:pPr>
        <w:pStyle w:val="3"/>
        <w:spacing w:before="0" w:after="0" w:line="580" w:lineRule="exact"/>
        <w:ind w:firstLine="883" w:firstLineChars="200"/>
        <w:rPr>
          <w:rFonts w:eastAsia="仿宋"/>
        </w:rPr>
      </w:pPr>
      <w:r>
        <w:rPr>
          <w:rFonts w:eastAsia="仿宋"/>
        </w:rPr>
        <w:fldChar w:fldCharType="end"/>
      </w:r>
      <w:bookmarkStart w:id="0" w:name="_Toc513811524"/>
      <w:bookmarkStart w:id="1" w:name="_Toc448820359"/>
      <w:bookmarkStart w:id="2" w:name="_Toc408843653"/>
      <w:bookmarkStart w:id="3" w:name="_Toc344447588"/>
    </w:p>
    <w:p>
      <w:pPr>
        <w:pStyle w:val="2"/>
        <w:sectPr>
          <w:footerReference r:id="rId3" w:type="default"/>
          <w:footerReference r:id="rId4" w:type="even"/>
          <w:pgSz w:w="11906" w:h="16838"/>
          <w:pgMar w:top="1984" w:right="1474" w:bottom="1644" w:left="1474" w:header="851" w:footer="1191" w:gutter="0"/>
          <w:cols w:space="0" w:num="1"/>
          <w:rtlGutter w:val="0"/>
          <w:docGrid w:type="lines" w:linePitch="312" w:charSpace="0"/>
        </w:sectPr>
      </w:pPr>
      <w:r>
        <w:br w:type="page"/>
      </w:r>
    </w:p>
    <w:p>
      <w:pPr>
        <w:pStyle w:val="2"/>
        <w:rPr>
          <w:kern w:val="44"/>
          <w:sz w:val="44"/>
          <w:szCs w:val="44"/>
        </w:rPr>
      </w:pPr>
    </w:p>
    <w:p>
      <w:pPr>
        <w:pStyle w:val="3"/>
        <w:pageBreakBefore w:val="0"/>
        <w:kinsoku/>
        <w:wordWrap/>
        <w:overflowPunct/>
        <w:topLinePunct w:val="0"/>
        <w:autoSpaceDE/>
        <w:autoSpaceDN/>
        <w:bidi w:val="0"/>
        <w:adjustRightInd/>
        <w:spacing w:before="0" w:after="0" w:line="594" w:lineRule="exact"/>
        <w:ind w:firstLine="643" w:firstLineChars="200"/>
        <w:textAlignment w:val="auto"/>
        <w:rPr>
          <w:rFonts w:eastAsia="仿宋_GB2312"/>
          <w:sz w:val="32"/>
          <w:szCs w:val="32"/>
        </w:rPr>
      </w:pPr>
      <w:bookmarkStart w:id="4" w:name="_Toc139895832"/>
      <w:r>
        <w:rPr>
          <w:rFonts w:eastAsia="仿宋_GB2312"/>
          <w:sz w:val="32"/>
          <w:szCs w:val="32"/>
        </w:rPr>
        <w:t>1 适用范围</w:t>
      </w:r>
      <w:bookmarkEnd w:id="4"/>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本规则适用于家用燃气用具（包括燃气灶、燃气烤箱、燃气烘烤器、燃气烤箱灶、燃气烘烤灶、燃气饭锅、集成灶、燃气烤炉、气电两用灶、燃气快速热水器、燃气采暖热水炉）的绿色产品认证。</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由于法律法规或相关产品标准、技术、产业政策等因素发生变化所引起的适用范围调整，应以国家认监委发布的公告为准。</w:t>
      </w:r>
    </w:p>
    <w:p>
      <w:pPr>
        <w:pStyle w:val="3"/>
        <w:pageBreakBefore w:val="0"/>
        <w:kinsoku/>
        <w:wordWrap/>
        <w:overflowPunct/>
        <w:topLinePunct w:val="0"/>
        <w:autoSpaceDE/>
        <w:autoSpaceDN/>
        <w:bidi w:val="0"/>
        <w:adjustRightInd/>
        <w:spacing w:before="0" w:after="0" w:line="594" w:lineRule="exact"/>
        <w:ind w:firstLine="643" w:firstLineChars="200"/>
        <w:textAlignment w:val="auto"/>
        <w:rPr>
          <w:rFonts w:eastAsia="仿宋_GB2312"/>
          <w:sz w:val="32"/>
          <w:szCs w:val="32"/>
        </w:rPr>
      </w:pPr>
      <w:bookmarkStart w:id="5" w:name="_Toc139895833"/>
      <w:r>
        <w:rPr>
          <w:rFonts w:hint="eastAsia" w:eastAsia="仿宋_GB2312"/>
          <w:sz w:val="32"/>
          <w:szCs w:val="32"/>
        </w:rPr>
        <w:t>2</w:t>
      </w:r>
      <w:r>
        <w:rPr>
          <w:rFonts w:hint="eastAsia" w:eastAsia="仿宋_GB2312"/>
          <w:sz w:val="32"/>
          <w:szCs w:val="32"/>
          <w:lang w:val="en-US" w:eastAsia="zh-CN"/>
        </w:rPr>
        <w:t xml:space="preserve"> </w:t>
      </w:r>
      <w:r>
        <w:rPr>
          <w:rFonts w:eastAsia="仿宋_GB2312"/>
          <w:sz w:val="32"/>
          <w:szCs w:val="32"/>
        </w:rPr>
        <w:t>认证依据标准</w:t>
      </w:r>
      <w:bookmarkEnd w:id="5"/>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认证依据标准为GB/T 42169</w:t>
      </w:r>
      <w:r>
        <w:rPr>
          <w:rFonts w:hint="eastAsia" w:eastAsia="仿宋_GB2312"/>
          <w:sz w:val="32"/>
          <w:szCs w:val="32"/>
          <w:lang w:eastAsia="zh-CN"/>
        </w:rPr>
        <w:t>—</w:t>
      </w:r>
      <w:r>
        <w:rPr>
          <w:rFonts w:eastAsia="仿宋_GB2312"/>
          <w:sz w:val="32"/>
          <w:szCs w:val="32"/>
        </w:rPr>
        <w:t>2022《绿色产品评价 家用燃气用具》。</w:t>
      </w:r>
    </w:p>
    <w:p>
      <w:pPr>
        <w:pStyle w:val="3"/>
        <w:pageBreakBefore w:val="0"/>
        <w:kinsoku/>
        <w:wordWrap/>
        <w:overflowPunct/>
        <w:topLinePunct w:val="0"/>
        <w:autoSpaceDE/>
        <w:autoSpaceDN/>
        <w:bidi w:val="0"/>
        <w:adjustRightInd/>
        <w:spacing w:before="0" w:after="0" w:line="594" w:lineRule="exact"/>
        <w:ind w:firstLine="643" w:firstLineChars="200"/>
        <w:textAlignment w:val="auto"/>
        <w:rPr>
          <w:rFonts w:eastAsia="仿宋_GB2312"/>
          <w:sz w:val="32"/>
          <w:szCs w:val="32"/>
        </w:rPr>
      </w:pPr>
      <w:bookmarkStart w:id="6" w:name="_Toc139895834"/>
      <w:r>
        <w:rPr>
          <w:rFonts w:hint="eastAsia" w:eastAsia="仿宋_GB2312"/>
          <w:sz w:val="32"/>
          <w:szCs w:val="32"/>
        </w:rPr>
        <w:t>3</w:t>
      </w:r>
      <w:r>
        <w:rPr>
          <w:rFonts w:eastAsia="仿宋_GB2312"/>
          <w:sz w:val="32"/>
          <w:szCs w:val="32"/>
        </w:rPr>
        <w:t xml:space="preserve"> 认证模式</w:t>
      </w:r>
      <w:bookmarkEnd w:id="0"/>
      <w:bookmarkEnd w:id="6"/>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认证模式为：产品检测+初始检查+获证后监督。</w:t>
      </w:r>
    </w:p>
    <w:p>
      <w:pPr>
        <w:pStyle w:val="3"/>
        <w:pageBreakBefore w:val="0"/>
        <w:kinsoku/>
        <w:wordWrap/>
        <w:overflowPunct/>
        <w:topLinePunct w:val="0"/>
        <w:autoSpaceDE/>
        <w:autoSpaceDN/>
        <w:bidi w:val="0"/>
        <w:adjustRightInd/>
        <w:spacing w:before="0" w:after="0" w:line="594" w:lineRule="exact"/>
        <w:ind w:firstLine="643" w:firstLineChars="200"/>
        <w:textAlignment w:val="auto"/>
        <w:rPr>
          <w:rFonts w:eastAsia="仿宋_GB2312"/>
          <w:sz w:val="32"/>
          <w:szCs w:val="32"/>
        </w:rPr>
      </w:pPr>
      <w:bookmarkStart w:id="7" w:name="_Toc139895835"/>
      <w:r>
        <w:rPr>
          <w:rFonts w:eastAsia="仿宋_GB2312"/>
          <w:sz w:val="32"/>
          <w:szCs w:val="32"/>
        </w:rPr>
        <w:t>4</w:t>
      </w:r>
      <w:r>
        <w:rPr>
          <w:rFonts w:hint="eastAsia" w:eastAsia="仿宋_GB2312"/>
          <w:sz w:val="32"/>
          <w:szCs w:val="32"/>
          <w:lang w:val="en-US" w:eastAsia="zh-CN"/>
        </w:rPr>
        <w:t xml:space="preserve"> </w:t>
      </w:r>
      <w:r>
        <w:rPr>
          <w:rFonts w:hint="eastAsia" w:eastAsia="仿宋_GB2312"/>
          <w:sz w:val="32"/>
          <w:szCs w:val="32"/>
        </w:rPr>
        <w:t>认证委托</w:t>
      </w:r>
      <w:bookmarkEnd w:id="7"/>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sz w:val="32"/>
          <w:szCs w:val="32"/>
        </w:rPr>
      </w:pPr>
      <w:r>
        <w:rPr>
          <w:rFonts w:eastAsia="仿宋_GB2312"/>
          <w:b/>
          <w:bCs/>
          <w:sz w:val="32"/>
          <w:szCs w:val="32"/>
        </w:rPr>
        <w:t>4.1</w:t>
      </w:r>
      <w:r>
        <w:rPr>
          <w:rFonts w:hint="eastAsia" w:eastAsia="仿宋_GB2312"/>
          <w:b/>
          <w:bCs/>
          <w:sz w:val="32"/>
          <w:szCs w:val="32"/>
          <w:lang w:val="en-US" w:eastAsia="zh-CN"/>
        </w:rPr>
        <w:t xml:space="preserve"> </w:t>
      </w:r>
      <w:r>
        <w:rPr>
          <w:rFonts w:hint="eastAsia" w:eastAsia="仿宋_GB2312"/>
          <w:b/>
          <w:bCs/>
          <w:sz w:val="32"/>
          <w:szCs w:val="32"/>
        </w:rPr>
        <w:t>单元划分</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根据产品类别、产品结构、工作原理、燃气种类等划分单元。</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认证机构应依据国家认监委发布的相关文件规定，在认证实施细则中明确单元划分具体要求。</w:t>
      </w:r>
    </w:p>
    <w:bookmarkEnd w:id="1"/>
    <w:bookmarkEnd w:id="2"/>
    <w:bookmarkEnd w:id="3"/>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sz w:val="32"/>
          <w:szCs w:val="32"/>
        </w:rPr>
      </w:pPr>
      <w:r>
        <w:rPr>
          <w:rFonts w:eastAsia="仿宋_GB2312"/>
          <w:b/>
          <w:bCs/>
          <w:sz w:val="32"/>
          <w:szCs w:val="32"/>
        </w:rPr>
        <w:t xml:space="preserve">4.2 </w:t>
      </w:r>
      <w:r>
        <w:rPr>
          <w:rFonts w:hint="eastAsia" w:eastAsia="仿宋_GB2312"/>
          <w:b/>
          <w:bCs/>
          <w:sz w:val="32"/>
          <w:szCs w:val="32"/>
        </w:rPr>
        <w:t>委托文件</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认证机构应根据法律法规、标准及认证实施的需要在认证实施细则中明确</w:t>
      </w:r>
      <w:r>
        <w:rPr>
          <w:rFonts w:hint="eastAsia" w:eastAsia="仿宋_GB2312"/>
          <w:sz w:val="32"/>
          <w:szCs w:val="32"/>
        </w:rPr>
        <w:t>委托</w:t>
      </w:r>
      <w:r>
        <w:rPr>
          <w:rFonts w:eastAsia="仿宋_GB2312"/>
          <w:sz w:val="32"/>
          <w:szCs w:val="32"/>
        </w:rPr>
        <w:t>资料清单（应至少包括认证</w:t>
      </w:r>
      <w:r>
        <w:rPr>
          <w:rFonts w:hint="eastAsia" w:eastAsia="仿宋_GB2312"/>
          <w:sz w:val="32"/>
          <w:szCs w:val="32"/>
        </w:rPr>
        <w:t>委托</w:t>
      </w:r>
      <w:r>
        <w:rPr>
          <w:rFonts w:eastAsia="仿宋_GB2312"/>
          <w:sz w:val="32"/>
          <w:szCs w:val="32"/>
        </w:rPr>
        <w:t>书、认证委托人/生产者/生产企业的注册证明等）。</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bookmarkStart w:id="8" w:name="bookmark13"/>
      <w:r>
        <w:rPr>
          <w:rFonts w:hint="eastAsia" w:eastAsia="仿宋_GB2312"/>
          <w:sz w:val="32"/>
          <w:szCs w:val="32"/>
        </w:rPr>
        <w:t>认证委托</w:t>
      </w:r>
      <w:r>
        <w:rPr>
          <w:rFonts w:eastAsia="仿宋_GB2312"/>
          <w:sz w:val="32"/>
          <w:szCs w:val="32"/>
        </w:rPr>
        <w:t>人应按认证实施细则中</w:t>
      </w:r>
      <w:r>
        <w:rPr>
          <w:rFonts w:hint="eastAsia" w:eastAsia="仿宋_GB2312"/>
          <w:sz w:val="32"/>
          <w:szCs w:val="32"/>
        </w:rPr>
        <w:t>委托</w:t>
      </w:r>
      <w:r>
        <w:rPr>
          <w:rFonts w:eastAsia="仿宋_GB2312"/>
          <w:sz w:val="32"/>
          <w:szCs w:val="32"/>
        </w:rPr>
        <w:t>资料清单的要求提供所需资料。认证机构负责审核、管理、保存、保密有关资料，并将资料审核结果告知</w:t>
      </w:r>
      <w:r>
        <w:rPr>
          <w:rFonts w:hint="eastAsia" w:eastAsia="仿宋_GB2312"/>
          <w:sz w:val="32"/>
          <w:szCs w:val="32"/>
        </w:rPr>
        <w:t>认证委托</w:t>
      </w:r>
      <w:r>
        <w:rPr>
          <w:rFonts w:eastAsia="仿宋_GB2312"/>
          <w:sz w:val="32"/>
          <w:szCs w:val="32"/>
        </w:rPr>
        <w:t>人。</w:t>
      </w:r>
      <w:bookmarkEnd w:id="8"/>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sz w:val="32"/>
          <w:szCs w:val="32"/>
        </w:rPr>
      </w:pPr>
      <w:r>
        <w:rPr>
          <w:rFonts w:eastAsia="仿宋_GB2312"/>
          <w:b/>
          <w:bCs/>
          <w:sz w:val="32"/>
          <w:szCs w:val="32"/>
        </w:rPr>
        <w:t xml:space="preserve">4.3 </w:t>
      </w:r>
      <w:r>
        <w:rPr>
          <w:rFonts w:hint="eastAsia" w:eastAsia="仿宋_GB2312"/>
          <w:b/>
          <w:bCs/>
          <w:sz w:val="32"/>
          <w:szCs w:val="32"/>
        </w:rPr>
        <w:t>受理</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认证</w:t>
      </w:r>
      <w:r>
        <w:rPr>
          <w:rFonts w:hint="eastAsia" w:eastAsia="仿宋_GB2312"/>
          <w:sz w:val="32"/>
          <w:szCs w:val="32"/>
        </w:rPr>
        <w:t>委托</w:t>
      </w:r>
      <w:r>
        <w:rPr>
          <w:rFonts w:eastAsia="仿宋_GB2312"/>
          <w:sz w:val="32"/>
          <w:szCs w:val="32"/>
        </w:rPr>
        <w:t>人向认证机构提出认证</w:t>
      </w:r>
      <w:r>
        <w:rPr>
          <w:rFonts w:hint="eastAsia" w:eastAsia="仿宋_GB2312"/>
          <w:sz w:val="32"/>
          <w:szCs w:val="32"/>
        </w:rPr>
        <w:t>委托</w:t>
      </w:r>
      <w:r>
        <w:rPr>
          <w:rFonts w:eastAsia="仿宋_GB2312"/>
          <w:sz w:val="32"/>
          <w:szCs w:val="32"/>
        </w:rPr>
        <w:t>，认证机构应对认证</w:t>
      </w:r>
      <w:r>
        <w:rPr>
          <w:rFonts w:hint="eastAsia" w:eastAsia="仿宋_GB2312"/>
          <w:sz w:val="32"/>
          <w:szCs w:val="32"/>
        </w:rPr>
        <w:t>委托</w:t>
      </w:r>
      <w:r>
        <w:rPr>
          <w:rFonts w:eastAsia="仿宋_GB2312"/>
          <w:sz w:val="32"/>
          <w:szCs w:val="32"/>
        </w:rPr>
        <w:t>进行处理，并按照认证实施细则中的时限要求反馈受理或不予受理的信息。</w:t>
      </w:r>
    </w:p>
    <w:p>
      <w:pPr>
        <w:pStyle w:val="3"/>
        <w:pageBreakBefore w:val="0"/>
        <w:kinsoku/>
        <w:wordWrap/>
        <w:overflowPunct/>
        <w:topLinePunct w:val="0"/>
        <w:autoSpaceDE/>
        <w:autoSpaceDN/>
        <w:bidi w:val="0"/>
        <w:adjustRightInd/>
        <w:spacing w:before="0" w:after="0" w:line="594" w:lineRule="exact"/>
        <w:ind w:firstLine="643" w:firstLineChars="200"/>
        <w:textAlignment w:val="auto"/>
        <w:rPr>
          <w:rFonts w:eastAsia="仿宋_GB2312"/>
          <w:sz w:val="32"/>
          <w:szCs w:val="32"/>
        </w:rPr>
      </w:pPr>
      <w:bookmarkStart w:id="9" w:name="_Toc139895836"/>
      <w:r>
        <w:rPr>
          <w:rFonts w:hint="eastAsia" w:eastAsia="仿宋_GB2312"/>
          <w:sz w:val="32"/>
          <w:szCs w:val="32"/>
        </w:rPr>
        <w:t>5 产品检测</w:t>
      </w:r>
      <w:bookmarkEnd w:id="9"/>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sz w:val="32"/>
          <w:szCs w:val="32"/>
        </w:rPr>
      </w:pPr>
      <w:r>
        <w:rPr>
          <w:rFonts w:hint="eastAsia" w:eastAsia="仿宋_GB2312"/>
          <w:b/>
          <w:bCs/>
          <w:sz w:val="32"/>
          <w:szCs w:val="32"/>
        </w:rPr>
        <w:t>5</w:t>
      </w:r>
      <w:r>
        <w:rPr>
          <w:rFonts w:eastAsia="仿宋_GB2312"/>
          <w:b/>
          <w:bCs/>
          <w:sz w:val="32"/>
          <w:szCs w:val="32"/>
        </w:rPr>
        <w:t>.1</w:t>
      </w:r>
      <w:r>
        <w:rPr>
          <w:rFonts w:hint="eastAsia" w:eastAsia="仿宋_GB2312"/>
          <w:b/>
          <w:bCs/>
          <w:sz w:val="32"/>
          <w:szCs w:val="32"/>
        </w:rPr>
        <w:t xml:space="preserve"> 检测方案</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认证机构应在进行资料审核后制定产品检测方案，并告知</w:t>
      </w:r>
      <w:r>
        <w:rPr>
          <w:rFonts w:hint="eastAsia" w:eastAsia="仿宋_GB2312"/>
          <w:sz w:val="32"/>
          <w:szCs w:val="32"/>
        </w:rPr>
        <w:t>认证委托</w:t>
      </w:r>
      <w:r>
        <w:rPr>
          <w:rFonts w:eastAsia="仿宋_GB2312"/>
          <w:sz w:val="32"/>
          <w:szCs w:val="32"/>
        </w:rPr>
        <w:t>人。</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产品检测方案应包括样品要求和数量、检测项目、</w:t>
      </w:r>
      <w:r>
        <w:rPr>
          <w:rFonts w:hint="eastAsia" w:eastAsia="仿宋_GB2312"/>
          <w:sz w:val="32"/>
          <w:szCs w:val="32"/>
        </w:rPr>
        <w:t>检测机构</w:t>
      </w:r>
      <w:r>
        <w:rPr>
          <w:rFonts w:eastAsia="仿宋_GB2312"/>
          <w:sz w:val="32"/>
          <w:szCs w:val="32"/>
        </w:rPr>
        <w:t>信息等。</w:t>
      </w:r>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sz w:val="32"/>
          <w:szCs w:val="32"/>
        </w:rPr>
      </w:pPr>
      <w:r>
        <w:rPr>
          <w:rFonts w:hint="eastAsia" w:eastAsia="仿宋_GB2312"/>
          <w:b/>
          <w:bCs/>
          <w:sz w:val="32"/>
          <w:szCs w:val="32"/>
        </w:rPr>
        <w:t>5</w:t>
      </w:r>
      <w:r>
        <w:rPr>
          <w:rFonts w:eastAsia="仿宋_GB2312"/>
          <w:b/>
          <w:bCs/>
          <w:sz w:val="32"/>
          <w:szCs w:val="32"/>
        </w:rPr>
        <w:t xml:space="preserve">.2 </w:t>
      </w:r>
      <w:r>
        <w:rPr>
          <w:rFonts w:hint="eastAsia" w:eastAsia="仿宋_GB2312"/>
          <w:b/>
          <w:bCs/>
          <w:sz w:val="32"/>
          <w:szCs w:val="32"/>
        </w:rPr>
        <w:t>样品要求</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hint="eastAsia" w:eastAsia="仿宋_GB2312"/>
          <w:sz w:val="32"/>
          <w:szCs w:val="32"/>
        </w:rPr>
        <w:t>认证委托</w:t>
      </w:r>
      <w:r>
        <w:rPr>
          <w:rFonts w:eastAsia="仿宋_GB2312"/>
          <w:sz w:val="32"/>
          <w:szCs w:val="32"/>
        </w:rPr>
        <w:t>人按认证机构的要求选送代表性样品用于检测；必要时，认证机构也可采取现场抽样方式获得样品。认证机构应在实施细则中明确认证产品送样/抽样的相关要求。</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hint="eastAsia" w:eastAsia="仿宋_GB2312"/>
          <w:sz w:val="32"/>
          <w:szCs w:val="32"/>
        </w:rPr>
        <w:t>认证委托</w:t>
      </w:r>
      <w:r>
        <w:rPr>
          <w:rFonts w:eastAsia="仿宋_GB2312"/>
          <w:sz w:val="32"/>
          <w:szCs w:val="32"/>
        </w:rPr>
        <w:t>人应保证其所提供的样品与实际生产产品的一致性。</w:t>
      </w:r>
      <w:r>
        <w:rPr>
          <w:rFonts w:hint="eastAsia" w:eastAsia="仿宋_GB2312"/>
          <w:sz w:val="32"/>
          <w:szCs w:val="32"/>
        </w:rPr>
        <w:t>检测机构</w:t>
      </w:r>
      <w:r>
        <w:rPr>
          <w:rFonts w:eastAsia="仿宋_GB2312"/>
          <w:sz w:val="32"/>
          <w:szCs w:val="32"/>
        </w:rPr>
        <w:t>应对</w:t>
      </w:r>
      <w:r>
        <w:rPr>
          <w:rFonts w:hint="eastAsia" w:eastAsia="仿宋_GB2312"/>
          <w:sz w:val="32"/>
          <w:szCs w:val="32"/>
        </w:rPr>
        <w:t>认证委托</w:t>
      </w:r>
      <w:r>
        <w:rPr>
          <w:rFonts w:eastAsia="仿宋_GB2312"/>
          <w:sz w:val="32"/>
          <w:szCs w:val="32"/>
        </w:rPr>
        <w:t>人提供样品的真实性进行审查。</w:t>
      </w:r>
      <w:r>
        <w:rPr>
          <w:rFonts w:hint="eastAsia" w:eastAsia="仿宋_GB2312"/>
          <w:sz w:val="32"/>
          <w:szCs w:val="32"/>
        </w:rPr>
        <w:t>检测机构</w:t>
      </w:r>
      <w:r>
        <w:rPr>
          <w:rFonts w:eastAsia="仿宋_GB2312"/>
          <w:sz w:val="32"/>
          <w:szCs w:val="32"/>
        </w:rPr>
        <w:t>对样品真实性有疑义的，应向认证机构说明情况，并</w:t>
      </w:r>
      <w:r>
        <w:rPr>
          <w:rFonts w:hint="eastAsia" w:eastAsia="仿宋_GB2312"/>
          <w:sz w:val="32"/>
          <w:szCs w:val="32"/>
          <w:lang w:eastAsia="zh-CN"/>
        </w:rPr>
        <w:t>作</w:t>
      </w:r>
      <w:r>
        <w:rPr>
          <w:rFonts w:eastAsia="仿宋_GB2312"/>
          <w:sz w:val="32"/>
          <w:szCs w:val="32"/>
        </w:rPr>
        <w:t>出相应处理。</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认证机构应依据国家认监委发布的相关文件规定，在认证实施细则中明确产品所用关键原材料和元器件清单及相关要求。</w:t>
      </w:r>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sz w:val="32"/>
          <w:szCs w:val="32"/>
        </w:rPr>
      </w:pPr>
      <w:r>
        <w:rPr>
          <w:rFonts w:hint="eastAsia" w:eastAsia="仿宋_GB2312"/>
          <w:b/>
          <w:bCs/>
          <w:sz w:val="32"/>
          <w:szCs w:val="32"/>
        </w:rPr>
        <w:t>5</w:t>
      </w:r>
      <w:r>
        <w:rPr>
          <w:rFonts w:eastAsia="仿宋_GB2312"/>
          <w:b/>
          <w:bCs/>
          <w:sz w:val="32"/>
          <w:szCs w:val="32"/>
        </w:rPr>
        <w:t xml:space="preserve">.3 </w:t>
      </w:r>
      <w:r>
        <w:rPr>
          <w:rFonts w:hint="eastAsia" w:eastAsia="仿宋_GB2312"/>
          <w:b/>
          <w:bCs/>
          <w:sz w:val="32"/>
          <w:szCs w:val="32"/>
        </w:rPr>
        <w:t>检测项目</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检测项目、要求及方法应符合GB/T 42169</w:t>
      </w:r>
      <w:r>
        <w:rPr>
          <w:rFonts w:hint="eastAsia" w:eastAsia="仿宋_GB2312"/>
          <w:sz w:val="32"/>
          <w:szCs w:val="32"/>
          <w:lang w:eastAsia="zh-CN"/>
        </w:rPr>
        <w:t>—</w:t>
      </w:r>
      <w:r>
        <w:rPr>
          <w:rFonts w:eastAsia="仿宋_GB2312"/>
          <w:sz w:val="32"/>
          <w:szCs w:val="32"/>
        </w:rPr>
        <w:t>2022中4.2评价指标要求的相关规定。</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当对标准中部分检测项目有所调整时，则按国家认监委发布的相关规定文件执行。</w:t>
      </w:r>
    </w:p>
    <w:p>
      <w:pPr>
        <w:pStyle w:val="3"/>
        <w:pageBreakBefore w:val="0"/>
        <w:kinsoku/>
        <w:wordWrap/>
        <w:overflowPunct/>
        <w:topLinePunct w:val="0"/>
        <w:autoSpaceDE/>
        <w:autoSpaceDN/>
        <w:bidi w:val="0"/>
        <w:adjustRightInd/>
        <w:spacing w:before="0" w:after="0" w:line="594" w:lineRule="exact"/>
        <w:ind w:firstLine="643" w:firstLineChars="200"/>
        <w:textAlignment w:val="auto"/>
        <w:rPr>
          <w:rFonts w:eastAsia="仿宋_GB2312"/>
          <w:sz w:val="32"/>
          <w:szCs w:val="32"/>
        </w:rPr>
      </w:pPr>
      <w:bookmarkStart w:id="10" w:name="_Toc513811527"/>
      <w:bookmarkStart w:id="11" w:name="_Toc139895837"/>
      <w:r>
        <w:rPr>
          <w:rFonts w:hint="eastAsia" w:eastAsia="仿宋_GB2312"/>
          <w:sz w:val="32"/>
          <w:szCs w:val="32"/>
        </w:rPr>
        <w:t>6</w:t>
      </w:r>
      <w:r>
        <w:rPr>
          <w:rFonts w:eastAsia="仿宋_GB2312"/>
          <w:sz w:val="32"/>
          <w:szCs w:val="32"/>
        </w:rPr>
        <w:t xml:space="preserve"> </w:t>
      </w:r>
      <w:r>
        <w:rPr>
          <w:rFonts w:hint="eastAsia" w:eastAsia="仿宋_GB2312"/>
          <w:sz w:val="32"/>
          <w:szCs w:val="32"/>
        </w:rPr>
        <w:t>初始</w:t>
      </w:r>
      <w:bookmarkEnd w:id="10"/>
      <w:r>
        <w:rPr>
          <w:rFonts w:hint="eastAsia" w:eastAsia="仿宋_GB2312"/>
          <w:sz w:val="32"/>
          <w:szCs w:val="32"/>
        </w:rPr>
        <w:t>检查</w:t>
      </w:r>
      <w:bookmarkEnd w:id="11"/>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sz w:val="32"/>
          <w:szCs w:val="32"/>
        </w:rPr>
      </w:pPr>
      <w:r>
        <w:rPr>
          <w:rFonts w:hint="eastAsia" w:eastAsia="仿宋_GB2312"/>
          <w:b/>
          <w:bCs/>
          <w:sz w:val="32"/>
          <w:szCs w:val="32"/>
        </w:rPr>
        <w:t>6</w:t>
      </w:r>
      <w:r>
        <w:rPr>
          <w:rFonts w:eastAsia="仿宋_GB2312"/>
          <w:b/>
          <w:bCs/>
          <w:sz w:val="32"/>
          <w:szCs w:val="32"/>
        </w:rPr>
        <w:t xml:space="preserve">.1 </w:t>
      </w:r>
      <w:r>
        <w:rPr>
          <w:rFonts w:hint="eastAsia" w:eastAsia="仿宋_GB2312"/>
          <w:b/>
          <w:bCs/>
          <w:sz w:val="32"/>
          <w:szCs w:val="32"/>
        </w:rPr>
        <w:t>检查准备</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认证机构为其现场检查制定计划，该计划应基于绿色产品评价标准的相关要求，并与检查的目的和范围相适应。</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认证机构选派有资质的人员组成现场检查组。在确定检查组的规模和构成时，应基于认证产品的范围、涉及的技术特点、数据和信息系统的复杂程度及检查人员具有的专业背景和实践经验等因素确定。</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检查组进入现场检查前，应完成相应证实性资料的技术评审，对</w:t>
      </w:r>
      <w:r>
        <w:rPr>
          <w:rFonts w:hint="eastAsia" w:eastAsia="仿宋_GB2312"/>
          <w:sz w:val="32"/>
          <w:szCs w:val="32"/>
        </w:rPr>
        <w:t>申请人证产品和生产企业</w:t>
      </w:r>
      <w:r>
        <w:rPr>
          <w:rFonts w:eastAsia="仿宋_GB2312"/>
          <w:sz w:val="32"/>
          <w:szCs w:val="32"/>
        </w:rPr>
        <w:t>进行初步评估。认证机构应结合产品特点，制定资料技术评审要求的具体内容，并在认证实施细则中予以明确。</w:t>
      </w:r>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sz w:val="32"/>
          <w:szCs w:val="32"/>
        </w:rPr>
      </w:pPr>
      <w:r>
        <w:rPr>
          <w:rFonts w:hint="eastAsia" w:eastAsia="仿宋_GB2312"/>
          <w:b/>
          <w:bCs/>
          <w:sz w:val="32"/>
          <w:szCs w:val="32"/>
        </w:rPr>
        <w:t>6</w:t>
      </w:r>
      <w:r>
        <w:rPr>
          <w:rFonts w:eastAsia="仿宋_GB2312"/>
          <w:b/>
          <w:bCs/>
          <w:sz w:val="32"/>
          <w:szCs w:val="32"/>
        </w:rPr>
        <w:t xml:space="preserve">.2 </w:t>
      </w:r>
      <w:r>
        <w:rPr>
          <w:rFonts w:hint="eastAsia" w:eastAsia="仿宋_GB2312"/>
          <w:b/>
          <w:bCs/>
          <w:sz w:val="32"/>
          <w:szCs w:val="32"/>
        </w:rPr>
        <w:t>现场检查</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现场检查是认证机构为确定生产企业的保证能力</w:t>
      </w:r>
      <w:r>
        <w:rPr>
          <w:rFonts w:hint="eastAsia" w:eastAsia="仿宋_GB2312"/>
          <w:sz w:val="32"/>
          <w:szCs w:val="32"/>
        </w:rPr>
        <w:t>、产品一致性</w:t>
      </w:r>
      <w:r>
        <w:rPr>
          <w:rFonts w:eastAsia="仿宋_GB2312"/>
          <w:sz w:val="32"/>
          <w:szCs w:val="32"/>
        </w:rPr>
        <w:t>和影响产品绿色属性重要因素控制能力是否符合认证要求而开展的检查和评价。现场检查应在产品检测和资料技术评审合格后进行，必要时也可和产品检测同时进行。</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认证机构应结合产品特点，制定现场检查要求等具体内容，并在认证实施细则中予以明确。</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现场检查应覆盖认证产品的所有加工场所。必要时，认证机构可到生产企业以外的场所实施延伸检查。</w:t>
      </w:r>
    </w:p>
    <w:p>
      <w:pPr>
        <w:pStyle w:val="3"/>
        <w:pageBreakBefore w:val="0"/>
        <w:kinsoku/>
        <w:wordWrap/>
        <w:overflowPunct/>
        <w:topLinePunct w:val="0"/>
        <w:autoSpaceDE/>
        <w:autoSpaceDN/>
        <w:bidi w:val="0"/>
        <w:adjustRightInd/>
        <w:spacing w:before="0" w:after="0" w:line="594" w:lineRule="exact"/>
        <w:ind w:firstLine="643" w:firstLineChars="200"/>
        <w:textAlignment w:val="auto"/>
        <w:rPr>
          <w:rFonts w:eastAsia="仿宋_GB2312"/>
          <w:sz w:val="32"/>
          <w:szCs w:val="32"/>
        </w:rPr>
      </w:pPr>
      <w:bookmarkStart w:id="12" w:name="_Toc139895838"/>
      <w:r>
        <w:rPr>
          <w:rFonts w:hint="eastAsia" w:eastAsia="仿宋_GB2312"/>
          <w:sz w:val="32"/>
          <w:szCs w:val="32"/>
        </w:rPr>
        <w:t>7</w:t>
      </w:r>
      <w:r>
        <w:rPr>
          <w:rFonts w:eastAsia="仿宋_GB2312"/>
          <w:sz w:val="32"/>
          <w:szCs w:val="32"/>
        </w:rPr>
        <w:t xml:space="preserve"> </w:t>
      </w:r>
      <w:r>
        <w:rPr>
          <w:rFonts w:hint="eastAsia" w:eastAsia="仿宋_GB2312"/>
          <w:sz w:val="32"/>
          <w:szCs w:val="32"/>
        </w:rPr>
        <w:t>认证结果评价与批准</w:t>
      </w:r>
      <w:bookmarkEnd w:id="12"/>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认证机构对产品检测、初始检查结论，以及有关资料/信息进行综合评价，</w:t>
      </w:r>
      <w:r>
        <w:rPr>
          <w:rFonts w:hint="eastAsia" w:eastAsia="仿宋_GB2312"/>
          <w:sz w:val="32"/>
          <w:szCs w:val="32"/>
          <w:lang w:eastAsia="zh-CN"/>
        </w:rPr>
        <w:t>作</w:t>
      </w:r>
      <w:r>
        <w:rPr>
          <w:rFonts w:eastAsia="仿宋_GB2312"/>
          <w:sz w:val="32"/>
          <w:szCs w:val="32"/>
        </w:rPr>
        <w:t>出认证决定。对符合认证要求的，颁发认证证书。对存在不合格结论的，认证终止，认证机构不予颁发认证证书。</w:t>
      </w:r>
    </w:p>
    <w:p>
      <w:pPr>
        <w:pStyle w:val="3"/>
        <w:pageBreakBefore w:val="0"/>
        <w:kinsoku/>
        <w:wordWrap/>
        <w:overflowPunct/>
        <w:topLinePunct w:val="0"/>
        <w:autoSpaceDE/>
        <w:autoSpaceDN/>
        <w:bidi w:val="0"/>
        <w:adjustRightInd/>
        <w:spacing w:before="0" w:after="0" w:line="594" w:lineRule="exact"/>
        <w:ind w:firstLine="643" w:firstLineChars="200"/>
        <w:textAlignment w:val="auto"/>
        <w:rPr>
          <w:rFonts w:eastAsia="仿宋_GB2312"/>
          <w:sz w:val="32"/>
          <w:szCs w:val="32"/>
        </w:rPr>
      </w:pPr>
      <w:bookmarkStart w:id="13" w:name="_Toc1402265807"/>
      <w:bookmarkStart w:id="14" w:name="_Toc139895839"/>
      <w:r>
        <w:rPr>
          <w:rFonts w:hint="eastAsia" w:eastAsia="仿宋_GB2312"/>
          <w:sz w:val="32"/>
          <w:szCs w:val="32"/>
        </w:rPr>
        <w:t>8</w:t>
      </w:r>
      <w:r>
        <w:rPr>
          <w:rFonts w:eastAsia="仿宋_GB2312"/>
          <w:sz w:val="32"/>
          <w:szCs w:val="32"/>
        </w:rPr>
        <w:t xml:space="preserve"> </w:t>
      </w:r>
      <w:r>
        <w:rPr>
          <w:rFonts w:hint="eastAsia" w:eastAsia="仿宋_GB2312"/>
          <w:sz w:val="32"/>
          <w:szCs w:val="32"/>
        </w:rPr>
        <w:t>认证时限</w:t>
      </w:r>
      <w:bookmarkEnd w:id="13"/>
      <w:bookmarkEnd w:id="14"/>
    </w:p>
    <w:p>
      <w:pPr>
        <w:pageBreakBefore w:val="0"/>
        <w:kinsoku/>
        <w:wordWrap/>
        <w:overflowPunct/>
        <w:topLinePunct w:val="0"/>
        <w:autoSpaceDE/>
        <w:autoSpaceDN/>
        <w:bidi w:val="0"/>
        <w:adjustRightInd/>
        <w:snapToGrid w:val="0"/>
        <w:spacing w:line="594" w:lineRule="exact"/>
        <w:ind w:firstLine="640" w:firstLineChars="200"/>
        <w:textAlignment w:val="auto"/>
        <w:rPr>
          <w:rFonts w:hint="eastAsia" w:eastAsia="仿宋_GB2312"/>
          <w:sz w:val="32"/>
          <w:szCs w:val="32"/>
        </w:rPr>
      </w:pPr>
      <w:r>
        <w:rPr>
          <w:rFonts w:hint="eastAsia" w:eastAsia="仿宋_GB2312"/>
          <w:sz w:val="32"/>
          <w:szCs w:val="32"/>
        </w:rPr>
        <w:t>认证机构应当对认证各环节的时限</w:t>
      </w:r>
      <w:r>
        <w:rPr>
          <w:rFonts w:hint="eastAsia" w:eastAsia="仿宋_GB2312"/>
          <w:sz w:val="32"/>
          <w:szCs w:val="32"/>
          <w:lang w:eastAsia="zh-CN"/>
        </w:rPr>
        <w:t>作</w:t>
      </w:r>
      <w:r>
        <w:rPr>
          <w:rFonts w:hint="eastAsia" w:eastAsia="仿宋_GB2312"/>
          <w:sz w:val="32"/>
          <w:szCs w:val="32"/>
        </w:rPr>
        <w:t>出明确规定，并确保相关工作按时限要求完成。自正式受理认证委托之日起至颁发认证证书之日止，一般不超过90天，包括初始检查、认证结果评价与批准以及证书制作时间。</w:t>
      </w:r>
    </w:p>
    <w:p>
      <w:pPr>
        <w:pageBreakBefore w:val="0"/>
        <w:kinsoku/>
        <w:wordWrap/>
        <w:overflowPunct/>
        <w:topLinePunct w:val="0"/>
        <w:autoSpaceDE/>
        <w:autoSpaceDN/>
        <w:bidi w:val="0"/>
        <w:adjustRightInd/>
        <w:snapToGrid w:val="0"/>
        <w:spacing w:line="594" w:lineRule="exact"/>
        <w:ind w:firstLine="640" w:firstLineChars="200"/>
        <w:textAlignment w:val="auto"/>
        <w:rPr>
          <w:rFonts w:eastAsia="仿宋_GB2312"/>
          <w:sz w:val="32"/>
          <w:szCs w:val="32"/>
        </w:rPr>
      </w:pPr>
      <w:r>
        <w:rPr>
          <w:rFonts w:hint="eastAsia" w:eastAsia="仿宋_GB2312"/>
          <w:sz w:val="32"/>
          <w:szCs w:val="32"/>
        </w:rPr>
        <w:t>因委托人未及时提交资料、不能按计划接受现场检查、未按规定时间递交不符合整改、未能及时寄送检验样品、未及时缴纳费用，以及特殊的样品检验周期等原因导致认证时间延长的，不计算在内。</w:t>
      </w:r>
    </w:p>
    <w:p>
      <w:pPr>
        <w:pStyle w:val="3"/>
        <w:pageBreakBefore w:val="0"/>
        <w:kinsoku/>
        <w:wordWrap/>
        <w:overflowPunct/>
        <w:topLinePunct w:val="0"/>
        <w:autoSpaceDE/>
        <w:autoSpaceDN/>
        <w:bidi w:val="0"/>
        <w:adjustRightInd/>
        <w:spacing w:before="0" w:after="0" w:line="594" w:lineRule="exact"/>
        <w:ind w:firstLine="643" w:firstLineChars="200"/>
        <w:textAlignment w:val="auto"/>
        <w:rPr>
          <w:rFonts w:eastAsia="仿宋_GB2312"/>
          <w:sz w:val="32"/>
          <w:szCs w:val="32"/>
        </w:rPr>
      </w:pPr>
      <w:bookmarkStart w:id="15" w:name="_Toc513811530"/>
      <w:bookmarkStart w:id="16" w:name="_Toc139895840"/>
      <w:r>
        <w:rPr>
          <w:rFonts w:hint="eastAsia" w:eastAsia="仿宋_GB2312"/>
          <w:sz w:val="32"/>
          <w:szCs w:val="32"/>
        </w:rPr>
        <w:t>9</w:t>
      </w:r>
      <w:r>
        <w:rPr>
          <w:rFonts w:eastAsia="仿宋_GB2312"/>
          <w:sz w:val="32"/>
          <w:szCs w:val="32"/>
        </w:rPr>
        <w:t xml:space="preserve"> </w:t>
      </w:r>
      <w:r>
        <w:rPr>
          <w:rFonts w:hint="eastAsia" w:eastAsia="仿宋_GB2312"/>
          <w:sz w:val="32"/>
          <w:szCs w:val="32"/>
        </w:rPr>
        <w:t>获证后</w:t>
      </w:r>
      <w:bookmarkEnd w:id="15"/>
      <w:r>
        <w:rPr>
          <w:rFonts w:hint="eastAsia" w:eastAsia="仿宋_GB2312"/>
          <w:sz w:val="32"/>
          <w:szCs w:val="32"/>
        </w:rPr>
        <w:t>的监督</w:t>
      </w:r>
      <w:bookmarkEnd w:id="16"/>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获证后监督是指认证机构对获证产品及其生产企业实施的监督。认证机构应</w:t>
      </w:r>
      <w:r>
        <w:rPr>
          <w:rFonts w:hint="eastAsia" w:eastAsia="仿宋_GB2312"/>
          <w:kern w:val="0"/>
          <w:sz w:val="32"/>
          <w:szCs w:val="32"/>
        </w:rPr>
        <w:t>当结合生产企业分类管理和实际情况，</w:t>
      </w:r>
      <w:r>
        <w:rPr>
          <w:rFonts w:eastAsia="仿宋_GB2312"/>
          <w:kern w:val="0"/>
          <w:sz w:val="32"/>
          <w:szCs w:val="32"/>
        </w:rPr>
        <w:t>在认证实施细则中明确获证后监督方式选择的具体要求。</w:t>
      </w:r>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kern w:val="0"/>
          <w:sz w:val="32"/>
          <w:szCs w:val="32"/>
        </w:rPr>
      </w:pPr>
      <w:r>
        <w:rPr>
          <w:rFonts w:hint="eastAsia" w:eastAsia="仿宋_GB2312"/>
          <w:b/>
          <w:bCs/>
          <w:kern w:val="0"/>
          <w:sz w:val="32"/>
          <w:szCs w:val="32"/>
        </w:rPr>
        <w:t>9</w:t>
      </w:r>
      <w:r>
        <w:rPr>
          <w:rFonts w:eastAsia="仿宋_GB2312"/>
          <w:b/>
          <w:bCs/>
          <w:kern w:val="0"/>
          <w:sz w:val="32"/>
          <w:szCs w:val="32"/>
        </w:rPr>
        <w:t>.1</w:t>
      </w:r>
      <w:r>
        <w:rPr>
          <w:rFonts w:hint="eastAsia" w:eastAsia="仿宋_GB2312"/>
          <w:b/>
          <w:bCs/>
          <w:kern w:val="0"/>
          <w:sz w:val="32"/>
          <w:szCs w:val="32"/>
        </w:rPr>
        <w:t>获证后的跟踪检查</w:t>
      </w:r>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kern w:val="0"/>
          <w:sz w:val="32"/>
          <w:szCs w:val="32"/>
        </w:rPr>
      </w:pPr>
      <w:r>
        <w:rPr>
          <w:rFonts w:hint="eastAsia" w:eastAsia="仿宋_GB2312"/>
          <w:b/>
          <w:bCs/>
          <w:kern w:val="0"/>
          <w:sz w:val="32"/>
          <w:szCs w:val="32"/>
        </w:rPr>
        <w:t>9</w:t>
      </w:r>
      <w:r>
        <w:rPr>
          <w:rFonts w:eastAsia="仿宋_GB2312"/>
          <w:b/>
          <w:bCs/>
          <w:kern w:val="0"/>
          <w:sz w:val="32"/>
          <w:szCs w:val="32"/>
        </w:rPr>
        <w:t>.1.1</w:t>
      </w:r>
      <w:r>
        <w:rPr>
          <w:rFonts w:hint="eastAsia" w:eastAsia="仿宋_GB2312"/>
          <w:b/>
          <w:bCs/>
          <w:kern w:val="0"/>
          <w:sz w:val="32"/>
          <w:szCs w:val="32"/>
        </w:rPr>
        <w:t>获证后的跟踪检查原则</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认证机构应对获证产品及其生产企业实施有效的跟踪检查，以验证生产企业的保证能力</w:t>
      </w:r>
      <w:r>
        <w:rPr>
          <w:rFonts w:hint="eastAsia" w:eastAsia="仿宋_GB2312"/>
          <w:kern w:val="0"/>
          <w:sz w:val="32"/>
          <w:szCs w:val="32"/>
        </w:rPr>
        <w:t>及产品绿色属性重要因素的控制能力</w:t>
      </w:r>
      <w:r>
        <w:rPr>
          <w:rFonts w:eastAsia="仿宋_GB2312"/>
          <w:kern w:val="0"/>
          <w:sz w:val="32"/>
          <w:szCs w:val="32"/>
        </w:rPr>
        <w:t>持续符合认证要求、确保获证产品持续符合标准要求并保持与产品检测样品的一致性。</w:t>
      </w:r>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kern w:val="0"/>
          <w:sz w:val="32"/>
          <w:szCs w:val="32"/>
        </w:rPr>
      </w:pPr>
      <w:r>
        <w:rPr>
          <w:rFonts w:hint="eastAsia" w:eastAsia="仿宋_GB2312"/>
          <w:b/>
          <w:bCs/>
          <w:kern w:val="0"/>
          <w:sz w:val="32"/>
          <w:szCs w:val="32"/>
        </w:rPr>
        <w:t>9</w:t>
      </w:r>
      <w:r>
        <w:rPr>
          <w:rFonts w:eastAsia="仿宋_GB2312"/>
          <w:b/>
          <w:bCs/>
          <w:kern w:val="0"/>
          <w:sz w:val="32"/>
          <w:szCs w:val="32"/>
        </w:rPr>
        <w:t xml:space="preserve">.1.2 </w:t>
      </w:r>
      <w:r>
        <w:rPr>
          <w:rFonts w:hint="eastAsia" w:eastAsia="仿宋_GB2312"/>
          <w:b/>
          <w:bCs/>
          <w:kern w:val="0"/>
          <w:sz w:val="32"/>
          <w:szCs w:val="32"/>
        </w:rPr>
        <w:t>获证后的跟踪检查内容</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认证机构应制定获证后跟踪检查要求，</w:t>
      </w:r>
      <w:r>
        <w:rPr>
          <w:rFonts w:hint="eastAsia" w:eastAsia="仿宋_GB2312"/>
          <w:kern w:val="0"/>
          <w:sz w:val="32"/>
          <w:szCs w:val="32"/>
        </w:rPr>
        <w:t>包括生产企业的保证能力要求、产品一致性检查要求、影响产品绿色属性重要因素控制要求、生产企业产品绿色评价检测要求等具体内容，</w:t>
      </w:r>
      <w:r>
        <w:rPr>
          <w:rFonts w:eastAsia="仿宋_GB2312"/>
          <w:kern w:val="0"/>
          <w:sz w:val="32"/>
          <w:szCs w:val="32"/>
        </w:rPr>
        <w:t>并在认证实施细则中予以明确。</w:t>
      </w:r>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kern w:val="0"/>
          <w:sz w:val="32"/>
          <w:szCs w:val="32"/>
        </w:rPr>
      </w:pPr>
      <w:r>
        <w:rPr>
          <w:rFonts w:hint="eastAsia" w:eastAsia="仿宋_GB2312"/>
          <w:b/>
          <w:bCs/>
          <w:kern w:val="0"/>
          <w:sz w:val="32"/>
          <w:szCs w:val="32"/>
        </w:rPr>
        <w:t>9</w:t>
      </w:r>
      <w:r>
        <w:rPr>
          <w:rFonts w:eastAsia="仿宋_GB2312"/>
          <w:b/>
          <w:bCs/>
          <w:kern w:val="0"/>
          <w:sz w:val="32"/>
          <w:szCs w:val="32"/>
        </w:rPr>
        <w:t>.2</w:t>
      </w:r>
      <w:r>
        <w:rPr>
          <w:rFonts w:hint="eastAsia" w:eastAsia="仿宋_GB2312"/>
          <w:b/>
          <w:bCs/>
          <w:kern w:val="0"/>
          <w:sz w:val="32"/>
          <w:szCs w:val="32"/>
        </w:rPr>
        <w:t>生产现场抽取样品检测或者检查</w:t>
      </w:r>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kern w:val="0"/>
          <w:sz w:val="32"/>
          <w:szCs w:val="32"/>
        </w:rPr>
      </w:pPr>
      <w:r>
        <w:rPr>
          <w:rFonts w:hint="eastAsia" w:eastAsia="仿宋_GB2312"/>
          <w:b/>
          <w:bCs/>
          <w:kern w:val="0"/>
          <w:sz w:val="32"/>
          <w:szCs w:val="32"/>
        </w:rPr>
        <w:t>9</w:t>
      </w:r>
      <w:r>
        <w:rPr>
          <w:rFonts w:eastAsia="仿宋_GB2312"/>
          <w:b/>
          <w:bCs/>
          <w:kern w:val="0"/>
          <w:sz w:val="32"/>
          <w:szCs w:val="32"/>
        </w:rPr>
        <w:t xml:space="preserve">.2.1 </w:t>
      </w:r>
      <w:r>
        <w:rPr>
          <w:rFonts w:hint="eastAsia" w:eastAsia="仿宋_GB2312"/>
          <w:b/>
          <w:bCs/>
          <w:kern w:val="0"/>
          <w:sz w:val="32"/>
          <w:szCs w:val="32"/>
        </w:rPr>
        <w:t>生产现场抽取样品检测或者检查原则</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生</w:t>
      </w:r>
      <w:r>
        <w:rPr>
          <w:rFonts w:eastAsia="仿宋_GB2312"/>
          <w:spacing w:val="-6"/>
          <w:kern w:val="0"/>
          <w:sz w:val="32"/>
          <w:szCs w:val="32"/>
        </w:rPr>
        <w:t>产现场抽取样品检测或者检查应覆盖所有获证的产品类别。</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采取生产现场抽取样品检测或者检查方式实施获证后监督的，</w:t>
      </w:r>
      <w:r>
        <w:rPr>
          <w:rFonts w:hint="eastAsia" w:eastAsia="仿宋_GB2312"/>
          <w:sz w:val="32"/>
          <w:szCs w:val="32"/>
        </w:rPr>
        <w:t>认证委托</w:t>
      </w:r>
      <w:r>
        <w:rPr>
          <w:rFonts w:eastAsia="仿宋_GB2312"/>
          <w:kern w:val="0"/>
          <w:sz w:val="32"/>
          <w:szCs w:val="32"/>
        </w:rPr>
        <w:t>人、生产者、生产企业应予以配合。</w:t>
      </w:r>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kern w:val="0"/>
          <w:sz w:val="32"/>
          <w:szCs w:val="32"/>
        </w:rPr>
      </w:pPr>
      <w:r>
        <w:rPr>
          <w:rFonts w:hint="eastAsia" w:eastAsia="仿宋_GB2312"/>
          <w:b/>
          <w:bCs/>
          <w:kern w:val="0"/>
          <w:sz w:val="32"/>
          <w:szCs w:val="32"/>
        </w:rPr>
        <w:t>9</w:t>
      </w:r>
      <w:r>
        <w:rPr>
          <w:rFonts w:eastAsia="仿宋_GB2312"/>
          <w:b/>
          <w:bCs/>
          <w:kern w:val="0"/>
          <w:sz w:val="32"/>
          <w:szCs w:val="32"/>
        </w:rPr>
        <w:t xml:space="preserve">.2.2 </w:t>
      </w:r>
      <w:r>
        <w:rPr>
          <w:rFonts w:hint="eastAsia" w:eastAsia="仿宋_GB2312"/>
          <w:b/>
          <w:bCs/>
          <w:kern w:val="0"/>
          <w:sz w:val="32"/>
          <w:szCs w:val="32"/>
        </w:rPr>
        <w:t>生产现场抽取样品检测或者检查内容</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认证机构应在认证实施细则中明确生产现场抽样检测或者检查的具体内容和要求，生产企业应将需要检测的样品送至指定</w:t>
      </w:r>
      <w:r>
        <w:rPr>
          <w:rFonts w:hint="eastAsia" w:eastAsia="仿宋_GB2312"/>
          <w:kern w:val="0"/>
          <w:sz w:val="32"/>
          <w:szCs w:val="32"/>
        </w:rPr>
        <w:t>检测机构</w:t>
      </w:r>
      <w:r>
        <w:rPr>
          <w:rFonts w:eastAsia="仿宋_GB2312"/>
          <w:kern w:val="0"/>
          <w:sz w:val="32"/>
          <w:szCs w:val="32"/>
        </w:rPr>
        <w:t>。</w:t>
      </w:r>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sz w:val="32"/>
          <w:szCs w:val="32"/>
        </w:rPr>
      </w:pPr>
      <w:r>
        <w:rPr>
          <w:rFonts w:hint="eastAsia" w:eastAsia="仿宋_GB2312"/>
          <w:b/>
          <w:bCs/>
          <w:sz w:val="32"/>
          <w:szCs w:val="32"/>
        </w:rPr>
        <w:t>9</w:t>
      </w:r>
      <w:r>
        <w:rPr>
          <w:rFonts w:eastAsia="仿宋_GB2312"/>
          <w:b/>
          <w:bCs/>
          <w:sz w:val="32"/>
          <w:szCs w:val="32"/>
        </w:rPr>
        <w:t xml:space="preserve">.3 </w:t>
      </w:r>
      <w:r>
        <w:rPr>
          <w:rFonts w:hint="eastAsia" w:eastAsia="仿宋_GB2312"/>
          <w:b/>
          <w:bCs/>
          <w:sz w:val="32"/>
          <w:szCs w:val="32"/>
        </w:rPr>
        <w:t>获证后监督的频次和时间</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认证机构应根据生产企业情况合理确定监督频次和时间，具体原则应在认证实施细则中予以明确。</w:t>
      </w:r>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sz w:val="32"/>
          <w:szCs w:val="32"/>
        </w:rPr>
      </w:pPr>
      <w:r>
        <w:rPr>
          <w:rFonts w:hint="eastAsia" w:eastAsia="仿宋_GB2312"/>
          <w:b/>
          <w:bCs/>
          <w:sz w:val="32"/>
          <w:szCs w:val="32"/>
        </w:rPr>
        <w:t>9</w:t>
      </w:r>
      <w:r>
        <w:rPr>
          <w:rFonts w:eastAsia="仿宋_GB2312"/>
          <w:b/>
          <w:bCs/>
          <w:sz w:val="32"/>
          <w:szCs w:val="32"/>
        </w:rPr>
        <w:t xml:space="preserve">.4 </w:t>
      </w:r>
      <w:r>
        <w:rPr>
          <w:rFonts w:hint="eastAsia" w:eastAsia="仿宋_GB2312"/>
          <w:b/>
          <w:bCs/>
          <w:sz w:val="32"/>
          <w:szCs w:val="32"/>
        </w:rPr>
        <w:t>获证后监督的记录</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认证机构应当对获证后监督全过程予以记录并归档留存，以保证认证过程和结果具有可追溯性。</w:t>
      </w:r>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sz w:val="32"/>
          <w:szCs w:val="32"/>
        </w:rPr>
      </w:pPr>
      <w:r>
        <w:rPr>
          <w:rFonts w:hint="eastAsia" w:eastAsia="仿宋_GB2312"/>
          <w:b/>
          <w:bCs/>
          <w:sz w:val="32"/>
          <w:szCs w:val="32"/>
        </w:rPr>
        <w:t>9</w:t>
      </w:r>
      <w:r>
        <w:rPr>
          <w:rFonts w:eastAsia="仿宋_GB2312"/>
          <w:b/>
          <w:bCs/>
          <w:sz w:val="32"/>
          <w:szCs w:val="32"/>
        </w:rPr>
        <w:t xml:space="preserve">.5 </w:t>
      </w:r>
      <w:r>
        <w:rPr>
          <w:rFonts w:hint="eastAsia" w:eastAsia="仿宋_GB2312"/>
          <w:b/>
          <w:bCs/>
          <w:sz w:val="32"/>
          <w:szCs w:val="32"/>
        </w:rPr>
        <w:t>获证后监督结果的评价</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sz w:val="32"/>
          <w:szCs w:val="32"/>
        </w:rPr>
      </w:pPr>
      <w:r>
        <w:rPr>
          <w:rFonts w:eastAsia="仿宋_GB2312"/>
          <w:sz w:val="32"/>
          <w:szCs w:val="32"/>
        </w:rPr>
        <w:t>认证机构对获证后监督结论和有关资料/信息进行综合评阶。评价通过的，可继续保持认证证书、使用认证标识；评价不通过的，认证机构应当根据相应情形</w:t>
      </w:r>
      <w:r>
        <w:rPr>
          <w:rFonts w:hint="eastAsia" w:eastAsia="仿宋_GB2312"/>
          <w:sz w:val="32"/>
          <w:szCs w:val="32"/>
          <w:lang w:eastAsia="zh-CN"/>
        </w:rPr>
        <w:t>作</w:t>
      </w:r>
      <w:r>
        <w:rPr>
          <w:rFonts w:eastAsia="仿宋_GB2312"/>
          <w:sz w:val="32"/>
          <w:szCs w:val="32"/>
        </w:rPr>
        <w:t>出暂停或者撤销认证证书的处理，并予以公布。</w:t>
      </w:r>
    </w:p>
    <w:p>
      <w:pPr>
        <w:pStyle w:val="3"/>
        <w:pageBreakBefore w:val="0"/>
        <w:kinsoku/>
        <w:wordWrap/>
        <w:overflowPunct/>
        <w:topLinePunct w:val="0"/>
        <w:autoSpaceDE/>
        <w:autoSpaceDN/>
        <w:bidi w:val="0"/>
        <w:adjustRightInd/>
        <w:spacing w:before="0" w:after="0" w:line="594" w:lineRule="exact"/>
        <w:ind w:firstLine="643" w:firstLineChars="200"/>
        <w:textAlignment w:val="auto"/>
        <w:rPr>
          <w:rFonts w:eastAsia="仿宋_GB2312"/>
          <w:sz w:val="32"/>
          <w:szCs w:val="32"/>
        </w:rPr>
      </w:pPr>
      <w:bookmarkStart w:id="17" w:name="_Toc513811532"/>
      <w:bookmarkStart w:id="18" w:name="_Toc139895841"/>
      <w:r>
        <w:rPr>
          <w:rFonts w:hint="eastAsia" w:eastAsia="仿宋_GB2312"/>
          <w:sz w:val="32"/>
          <w:szCs w:val="32"/>
        </w:rPr>
        <w:t>10</w:t>
      </w:r>
      <w:r>
        <w:rPr>
          <w:rFonts w:eastAsia="仿宋_GB2312"/>
          <w:sz w:val="32"/>
          <w:szCs w:val="32"/>
        </w:rPr>
        <w:t xml:space="preserve"> </w:t>
      </w:r>
      <w:r>
        <w:rPr>
          <w:rFonts w:hint="eastAsia" w:eastAsia="仿宋_GB2312"/>
          <w:sz w:val="32"/>
          <w:szCs w:val="32"/>
        </w:rPr>
        <w:t>认证证书</w:t>
      </w:r>
      <w:bookmarkEnd w:id="17"/>
      <w:bookmarkEnd w:id="18"/>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sz w:val="32"/>
          <w:szCs w:val="32"/>
        </w:rPr>
      </w:pPr>
      <w:r>
        <w:rPr>
          <w:rFonts w:hint="eastAsia" w:eastAsia="仿宋_GB2312"/>
          <w:b/>
          <w:bCs/>
          <w:sz w:val="32"/>
          <w:szCs w:val="32"/>
        </w:rPr>
        <w:t>10</w:t>
      </w:r>
      <w:r>
        <w:rPr>
          <w:rFonts w:eastAsia="仿宋_GB2312"/>
          <w:b/>
          <w:bCs/>
          <w:sz w:val="32"/>
          <w:szCs w:val="32"/>
        </w:rPr>
        <w:t xml:space="preserve">.1 </w:t>
      </w:r>
      <w:r>
        <w:rPr>
          <w:rFonts w:hint="eastAsia" w:eastAsia="仿宋_GB2312"/>
          <w:b/>
          <w:bCs/>
          <w:sz w:val="32"/>
          <w:szCs w:val="32"/>
        </w:rPr>
        <w:t>证书的保持</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认</w:t>
      </w:r>
      <w:r>
        <w:rPr>
          <w:rFonts w:eastAsia="仿宋_GB2312"/>
          <w:spacing w:val="-6"/>
          <w:kern w:val="0"/>
          <w:sz w:val="32"/>
          <w:szCs w:val="32"/>
        </w:rPr>
        <w:t>证证书的有效期为5年，证书的有效性通过定期监督来保持。</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认证证书有效期届满，需延续使用的，</w:t>
      </w:r>
      <w:r>
        <w:rPr>
          <w:rFonts w:hint="eastAsia" w:eastAsia="仿宋_GB2312"/>
          <w:sz w:val="32"/>
          <w:szCs w:val="32"/>
        </w:rPr>
        <w:t>认证委托</w:t>
      </w:r>
      <w:r>
        <w:rPr>
          <w:rFonts w:eastAsia="仿宋_GB2312"/>
          <w:kern w:val="0"/>
          <w:sz w:val="32"/>
          <w:szCs w:val="32"/>
        </w:rPr>
        <w:t>人应在认证证书有效期届满前90天内提出延续</w:t>
      </w:r>
      <w:r>
        <w:rPr>
          <w:rFonts w:hint="eastAsia" w:eastAsia="仿宋_GB2312"/>
          <w:kern w:val="0"/>
          <w:sz w:val="32"/>
          <w:szCs w:val="32"/>
        </w:rPr>
        <w:t>委托</w:t>
      </w:r>
      <w:r>
        <w:rPr>
          <w:rFonts w:eastAsia="仿宋_GB2312"/>
          <w:kern w:val="0"/>
          <w:sz w:val="32"/>
          <w:szCs w:val="32"/>
        </w:rPr>
        <w:t>。证书有效期内最后一次获证后监督结果合格的，认证机构应在接到延续</w:t>
      </w:r>
      <w:r>
        <w:rPr>
          <w:rFonts w:hint="eastAsia" w:eastAsia="仿宋_GB2312"/>
          <w:kern w:val="0"/>
          <w:sz w:val="32"/>
          <w:szCs w:val="32"/>
        </w:rPr>
        <w:t>委托</w:t>
      </w:r>
      <w:r>
        <w:rPr>
          <w:rFonts w:eastAsia="仿宋_GB2312"/>
          <w:kern w:val="0"/>
          <w:sz w:val="32"/>
          <w:szCs w:val="32"/>
        </w:rPr>
        <w:t>后直接换发新证书。</w:t>
      </w:r>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sz w:val="32"/>
          <w:szCs w:val="32"/>
        </w:rPr>
      </w:pPr>
      <w:r>
        <w:rPr>
          <w:rFonts w:hint="eastAsia" w:eastAsia="仿宋_GB2312"/>
          <w:b/>
          <w:bCs/>
          <w:sz w:val="32"/>
          <w:szCs w:val="32"/>
        </w:rPr>
        <w:t>10</w:t>
      </w:r>
      <w:r>
        <w:rPr>
          <w:rFonts w:eastAsia="仿宋_GB2312"/>
          <w:b/>
          <w:bCs/>
          <w:sz w:val="32"/>
          <w:szCs w:val="32"/>
        </w:rPr>
        <w:t xml:space="preserve">.2 </w:t>
      </w:r>
      <w:r>
        <w:rPr>
          <w:rFonts w:hint="eastAsia" w:eastAsia="仿宋_GB2312"/>
          <w:b/>
          <w:bCs/>
          <w:sz w:val="32"/>
          <w:szCs w:val="32"/>
        </w:rPr>
        <w:t>证书的变更</w:t>
      </w:r>
    </w:p>
    <w:p>
      <w:pPr>
        <w:pageBreakBefore w:val="0"/>
        <w:kinsoku/>
        <w:wordWrap/>
        <w:overflowPunct/>
        <w:topLinePunct w:val="0"/>
        <w:autoSpaceDE/>
        <w:autoSpaceDN/>
        <w:bidi w:val="0"/>
        <w:adjustRightInd/>
        <w:snapToGrid w:val="0"/>
        <w:spacing w:line="594" w:lineRule="exact"/>
        <w:ind w:firstLine="640" w:firstLineChars="200"/>
        <w:textAlignment w:val="auto"/>
        <w:rPr>
          <w:rFonts w:eastAsia="仿宋_GB2312"/>
          <w:kern w:val="0"/>
          <w:sz w:val="32"/>
          <w:szCs w:val="32"/>
        </w:rPr>
      </w:pPr>
      <w:r>
        <w:rPr>
          <w:rFonts w:hint="eastAsia" w:eastAsia="仿宋_GB2312"/>
          <w:kern w:val="0"/>
          <w:sz w:val="32"/>
          <w:szCs w:val="32"/>
        </w:rPr>
        <w:t>产品获证后，如果产品所用关键原材料和元器件、结构等发生变更，或认证机构在认证实施细则中明确的其他事项发生变更时，认证委托人应当向认证机构提出变更委托并获得批准</w:t>
      </w:r>
      <w:r>
        <w:rPr>
          <w:rFonts w:eastAsia="仿宋_GB2312"/>
          <w:kern w:val="0"/>
          <w:sz w:val="32"/>
          <w:szCs w:val="32"/>
          <w:lang w:val="zh-CN"/>
        </w:rPr>
        <w:t>/</w:t>
      </w:r>
      <w:r>
        <w:rPr>
          <w:rFonts w:hint="eastAsia" w:eastAsia="仿宋_GB2312"/>
          <w:kern w:val="0"/>
          <w:sz w:val="32"/>
          <w:szCs w:val="32"/>
        </w:rPr>
        <w:t>完成备案后，方可实施变更。</w:t>
      </w:r>
    </w:p>
    <w:p>
      <w:pPr>
        <w:pageBreakBefore w:val="0"/>
        <w:kinsoku/>
        <w:wordWrap/>
        <w:overflowPunct/>
        <w:topLinePunct w:val="0"/>
        <w:autoSpaceDE/>
        <w:autoSpaceDN/>
        <w:bidi w:val="0"/>
        <w:adjustRightInd/>
        <w:spacing w:line="594" w:lineRule="exact"/>
        <w:ind w:firstLine="640"/>
        <w:textAlignment w:val="auto"/>
        <w:rPr>
          <w:rFonts w:eastAsia="仿宋_GB2312"/>
          <w:kern w:val="0"/>
          <w:sz w:val="32"/>
          <w:szCs w:val="32"/>
        </w:rPr>
      </w:pPr>
      <w:r>
        <w:rPr>
          <w:rFonts w:hint="eastAsia" w:eastAsia="仿宋_GB2312"/>
          <w:kern w:val="0"/>
          <w:sz w:val="32"/>
          <w:szCs w:val="32"/>
        </w:rPr>
        <w:t>认证机构根据变更的内容，对提供的资料进行评价，确定是否可以批准变更。如需样品检测和</w:t>
      </w:r>
      <w:r>
        <w:rPr>
          <w:rFonts w:eastAsia="仿宋_GB2312"/>
          <w:kern w:val="0"/>
          <w:sz w:val="32"/>
          <w:szCs w:val="32"/>
        </w:rPr>
        <w:t>/</w:t>
      </w:r>
      <w:r>
        <w:rPr>
          <w:rFonts w:hint="eastAsia" w:eastAsia="仿宋_GB2312"/>
          <w:kern w:val="0"/>
          <w:sz w:val="32"/>
          <w:szCs w:val="32"/>
        </w:rPr>
        <w:t>或工厂检查，应当在检测和</w:t>
      </w:r>
      <w:r>
        <w:rPr>
          <w:rFonts w:eastAsia="仿宋_GB2312"/>
          <w:kern w:val="0"/>
          <w:sz w:val="32"/>
          <w:szCs w:val="32"/>
        </w:rPr>
        <w:t>/</w:t>
      </w:r>
      <w:r>
        <w:rPr>
          <w:rFonts w:hint="eastAsia" w:eastAsia="仿宋_GB2312"/>
          <w:kern w:val="0"/>
          <w:sz w:val="32"/>
          <w:szCs w:val="32"/>
        </w:rPr>
        <w:t>或检查合格后方能批准变更。</w:t>
      </w:r>
    </w:p>
    <w:p>
      <w:pPr>
        <w:pageBreakBefore w:val="0"/>
        <w:kinsoku/>
        <w:wordWrap/>
        <w:overflowPunct/>
        <w:topLinePunct w:val="0"/>
        <w:autoSpaceDE/>
        <w:autoSpaceDN/>
        <w:bidi w:val="0"/>
        <w:adjustRightInd/>
        <w:spacing w:line="594" w:lineRule="exact"/>
        <w:ind w:left="220" w:firstLine="420"/>
        <w:textAlignment w:val="auto"/>
        <w:rPr>
          <w:rFonts w:ascii="仿宋" w:hAnsi="仿宋" w:eastAsia="仿宋"/>
          <w:b/>
          <w:bCs/>
          <w:kern w:val="44"/>
          <w:sz w:val="32"/>
          <w:szCs w:val="32"/>
        </w:rPr>
      </w:pPr>
      <w:r>
        <w:rPr>
          <w:rFonts w:hint="eastAsia" w:ascii="仿宋" w:hAnsi="仿宋" w:eastAsia="仿宋"/>
          <w:b/>
          <w:bCs/>
          <w:kern w:val="44"/>
          <w:sz w:val="32"/>
          <w:szCs w:val="32"/>
        </w:rPr>
        <w:t>1</w:t>
      </w:r>
      <w:r>
        <w:rPr>
          <w:rFonts w:ascii="仿宋" w:hAnsi="仿宋" w:eastAsia="仿宋"/>
          <w:b/>
          <w:bCs/>
          <w:kern w:val="44"/>
          <w:sz w:val="32"/>
          <w:szCs w:val="32"/>
        </w:rPr>
        <w:t>0.3</w:t>
      </w:r>
      <w:r>
        <w:rPr>
          <w:rFonts w:hint="eastAsia" w:ascii="仿宋" w:hAnsi="仿宋" w:eastAsia="仿宋"/>
          <w:b/>
          <w:bCs/>
          <w:kern w:val="44"/>
          <w:sz w:val="32"/>
          <w:szCs w:val="32"/>
          <w:lang w:val="en-US" w:eastAsia="zh-CN"/>
        </w:rPr>
        <w:t xml:space="preserve"> </w:t>
      </w:r>
      <w:r>
        <w:rPr>
          <w:rFonts w:hint="eastAsia" w:ascii="仿宋" w:hAnsi="仿宋" w:eastAsia="仿宋"/>
          <w:b/>
          <w:bCs/>
          <w:kern w:val="44"/>
          <w:sz w:val="32"/>
          <w:szCs w:val="32"/>
        </w:rPr>
        <w:t>证书的扩展</w:t>
      </w:r>
    </w:p>
    <w:p>
      <w:pPr>
        <w:pageBreakBefore w:val="0"/>
        <w:kinsoku/>
        <w:wordWrap/>
        <w:overflowPunct/>
        <w:topLinePunct w:val="0"/>
        <w:autoSpaceDE/>
        <w:autoSpaceDN/>
        <w:bidi w:val="0"/>
        <w:adjustRightInd/>
        <w:spacing w:line="594" w:lineRule="exact"/>
        <w:ind w:firstLine="640" w:firstLineChars="200"/>
        <w:textAlignment w:val="auto"/>
        <w:rPr>
          <w:rFonts w:ascii="仿宋" w:hAnsi="仿宋" w:eastAsia="仿宋"/>
          <w:sz w:val="32"/>
          <w:szCs w:val="32"/>
        </w:rPr>
      </w:pPr>
      <w:r>
        <w:rPr>
          <w:rFonts w:hint="eastAsia" w:ascii="仿宋" w:hAnsi="仿宋" w:eastAsia="仿宋"/>
          <w:sz w:val="32"/>
          <w:szCs w:val="32"/>
        </w:rPr>
        <w:t>认证委托人需要扩展已经获得的认证证书覆盖的产品范围时，应向认证机构提出扩展产品的认证委托。</w:t>
      </w:r>
    </w:p>
    <w:p>
      <w:pPr>
        <w:pageBreakBefore w:val="0"/>
        <w:kinsoku/>
        <w:wordWrap/>
        <w:overflowPunct/>
        <w:topLinePunct w:val="0"/>
        <w:autoSpaceDE/>
        <w:autoSpaceDN/>
        <w:bidi w:val="0"/>
        <w:adjustRightInd/>
        <w:spacing w:line="594" w:lineRule="exact"/>
        <w:ind w:firstLine="640" w:firstLineChars="200"/>
        <w:textAlignment w:val="auto"/>
        <w:rPr>
          <w:rFonts w:ascii="仿宋" w:hAnsi="仿宋" w:eastAsia="仿宋"/>
          <w:color w:val="FF0000"/>
          <w:sz w:val="32"/>
          <w:szCs w:val="32"/>
        </w:rPr>
      </w:pPr>
      <w:r>
        <w:rPr>
          <w:rFonts w:hint="eastAsia" w:ascii="仿宋" w:hAnsi="仿宋" w:eastAsia="仿宋"/>
          <w:sz w:val="32"/>
          <w:szCs w:val="32"/>
        </w:rPr>
        <w:t>认证机构根据认证委托人提供的扩展产品有关技术资料，核查扩展产品与原认证产品的差异，确认原认证结果对扩展产品的有效性并针对差异</w:t>
      </w:r>
      <w:r>
        <w:rPr>
          <w:rFonts w:hint="eastAsia" w:ascii="仿宋" w:hAnsi="仿宋" w:eastAsia="仿宋"/>
          <w:sz w:val="32"/>
          <w:szCs w:val="32"/>
          <w:lang w:eastAsia="zh-CN"/>
        </w:rPr>
        <w:t>作</w:t>
      </w:r>
      <w:r>
        <w:rPr>
          <w:rFonts w:hint="eastAsia" w:ascii="仿宋" w:hAnsi="仿宋" w:eastAsia="仿宋"/>
          <w:sz w:val="32"/>
          <w:szCs w:val="32"/>
        </w:rPr>
        <w:t>补充检测或对生产现场产品进行检查。核查通过的，由认证机构根据认证委托人的要求单独颁发或换发认证证书。</w:t>
      </w:r>
    </w:p>
    <w:p>
      <w:pPr>
        <w:pageBreakBefore w:val="0"/>
        <w:kinsoku/>
        <w:wordWrap/>
        <w:overflowPunct/>
        <w:topLinePunct w:val="0"/>
        <w:autoSpaceDE/>
        <w:autoSpaceDN/>
        <w:bidi w:val="0"/>
        <w:adjustRightInd/>
        <w:spacing w:line="594" w:lineRule="exact"/>
        <w:ind w:firstLine="640" w:firstLineChars="200"/>
        <w:textAlignment w:val="auto"/>
        <w:rPr>
          <w:rFonts w:ascii="仿宋" w:hAnsi="仿宋" w:eastAsia="仿宋"/>
          <w:color w:val="FF0000"/>
          <w:sz w:val="32"/>
          <w:szCs w:val="32"/>
        </w:rPr>
      </w:pPr>
      <w:r>
        <w:rPr>
          <w:rFonts w:hint="eastAsia" w:ascii="仿宋" w:hAnsi="仿宋" w:eastAsia="仿宋"/>
          <w:color w:val="000000" w:themeColor="text1"/>
          <w:sz w:val="32"/>
          <w:szCs w:val="32"/>
          <w14:textFill>
            <w14:solidFill>
              <w14:schemeClr w14:val="tx1"/>
            </w14:solidFill>
          </w14:textFill>
        </w:rPr>
        <w:t>原则上，应以最初进行产品检测的代表性型号样品作为扩展评价的基础。</w:t>
      </w:r>
    </w:p>
    <w:p>
      <w:pPr>
        <w:pageBreakBefore w:val="0"/>
        <w:kinsoku/>
        <w:wordWrap/>
        <w:overflowPunct/>
        <w:topLinePunct w:val="0"/>
        <w:autoSpaceDE/>
        <w:autoSpaceDN/>
        <w:bidi w:val="0"/>
        <w:adjustRightInd/>
        <w:spacing w:line="594" w:lineRule="exact"/>
        <w:ind w:firstLine="643" w:firstLineChars="200"/>
        <w:textAlignment w:val="auto"/>
        <w:rPr>
          <w:rFonts w:eastAsia="仿宋_GB2312"/>
          <w:b/>
          <w:bCs/>
          <w:sz w:val="32"/>
          <w:szCs w:val="32"/>
        </w:rPr>
      </w:pPr>
      <w:r>
        <w:rPr>
          <w:rFonts w:hint="eastAsia" w:eastAsia="仿宋_GB2312"/>
          <w:b/>
          <w:bCs/>
          <w:sz w:val="32"/>
          <w:szCs w:val="32"/>
        </w:rPr>
        <w:t>10.</w:t>
      </w:r>
      <w:r>
        <w:rPr>
          <w:rFonts w:eastAsia="仿宋_GB2312"/>
          <w:b/>
          <w:bCs/>
          <w:sz w:val="32"/>
          <w:szCs w:val="32"/>
        </w:rPr>
        <w:t xml:space="preserve">4 </w:t>
      </w:r>
      <w:r>
        <w:rPr>
          <w:rFonts w:hint="eastAsia" w:eastAsia="仿宋_GB2312"/>
          <w:b/>
          <w:bCs/>
          <w:sz w:val="32"/>
          <w:szCs w:val="32"/>
        </w:rPr>
        <w:t>证书的暂停、恢复、注销和撤销</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证书的使用应符合</w:t>
      </w:r>
      <w:r>
        <w:rPr>
          <w:rFonts w:hint="eastAsia" w:eastAsia="仿宋_GB2312"/>
          <w:kern w:val="0"/>
          <w:sz w:val="32"/>
          <w:szCs w:val="32"/>
        </w:rPr>
        <w:t>国家认监委</w:t>
      </w:r>
      <w:r>
        <w:rPr>
          <w:rFonts w:eastAsia="仿宋_GB2312"/>
          <w:kern w:val="0"/>
          <w:sz w:val="32"/>
          <w:szCs w:val="32"/>
        </w:rPr>
        <w:t>有关证书管理规定的要求。当</w:t>
      </w:r>
      <w:r>
        <w:rPr>
          <w:rFonts w:hint="eastAsia" w:eastAsia="仿宋_GB2312"/>
          <w:sz w:val="32"/>
          <w:szCs w:val="32"/>
        </w:rPr>
        <w:t>认证委托</w:t>
      </w:r>
      <w:r>
        <w:rPr>
          <w:rFonts w:eastAsia="仿宋_GB2312"/>
          <w:kern w:val="0"/>
          <w:sz w:val="32"/>
          <w:szCs w:val="32"/>
        </w:rPr>
        <w:t>人违反认证有关规定、认证产品达不到认证要求或者无法继续生产时，认证机构按有关规定对认证证书</w:t>
      </w:r>
      <w:r>
        <w:rPr>
          <w:rFonts w:hint="eastAsia" w:eastAsia="仿宋_GB2312"/>
          <w:kern w:val="0"/>
          <w:sz w:val="32"/>
          <w:szCs w:val="32"/>
          <w:lang w:eastAsia="zh-CN"/>
        </w:rPr>
        <w:t>作</w:t>
      </w:r>
      <w:r>
        <w:rPr>
          <w:rFonts w:eastAsia="仿宋_GB2312"/>
          <w:kern w:val="0"/>
          <w:sz w:val="32"/>
          <w:szCs w:val="32"/>
        </w:rPr>
        <w:t>出相应的暂停、撤销和注销的处理，并将处理结果进行公告。</w:t>
      </w:r>
      <w:r>
        <w:rPr>
          <w:rFonts w:hint="eastAsia" w:eastAsia="仿宋_GB2312"/>
          <w:sz w:val="32"/>
          <w:szCs w:val="32"/>
        </w:rPr>
        <w:t>认证委托</w:t>
      </w:r>
      <w:r>
        <w:rPr>
          <w:rFonts w:eastAsia="仿宋_GB2312"/>
          <w:kern w:val="0"/>
          <w:sz w:val="32"/>
          <w:szCs w:val="32"/>
        </w:rPr>
        <w:t>人可以向认证机构申请暂停、注销其持有的认证证书。</w:t>
      </w:r>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证书暂停期间，</w:t>
      </w:r>
      <w:r>
        <w:rPr>
          <w:rFonts w:hint="eastAsia" w:eastAsia="仿宋_GB2312"/>
          <w:sz w:val="32"/>
          <w:szCs w:val="32"/>
        </w:rPr>
        <w:t>认证委托</w:t>
      </w:r>
      <w:r>
        <w:rPr>
          <w:rFonts w:eastAsia="仿宋_GB2312"/>
          <w:kern w:val="0"/>
          <w:sz w:val="32"/>
          <w:szCs w:val="32"/>
        </w:rPr>
        <w:t>人如果需要恢复认证证书，应在规定的暂停期限内向认证机构提出恢复</w:t>
      </w:r>
      <w:r>
        <w:rPr>
          <w:rFonts w:hint="eastAsia" w:eastAsia="仿宋_GB2312"/>
          <w:kern w:val="0"/>
          <w:sz w:val="32"/>
          <w:szCs w:val="32"/>
        </w:rPr>
        <w:t>申请</w:t>
      </w:r>
      <w:r>
        <w:rPr>
          <w:rFonts w:eastAsia="仿宋_GB2312"/>
          <w:kern w:val="0"/>
          <w:sz w:val="32"/>
          <w:szCs w:val="32"/>
        </w:rPr>
        <w:t>，认证机构按有关规定进行恢复处理。</w:t>
      </w:r>
    </w:p>
    <w:p>
      <w:pPr>
        <w:pStyle w:val="3"/>
        <w:pageBreakBefore w:val="0"/>
        <w:kinsoku/>
        <w:wordWrap/>
        <w:overflowPunct/>
        <w:topLinePunct w:val="0"/>
        <w:autoSpaceDE/>
        <w:autoSpaceDN/>
        <w:bidi w:val="0"/>
        <w:adjustRightInd/>
        <w:spacing w:before="0" w:after="0" w:line="594" w:lineRule="exact"/>
        <w:ind w:firstLine="643" w:firstLineChars="200"/>
        <w:textAlignment w:val="auto"/>
        <w:rPr>
          <w:rFonts w:eastAsia="仿宋_GB2312"/>
          <w:sz w:val="32"/>
          <w:szCs w:val="32"/>
        </w:rPr>
      </w:pPr>
      <w:bookmarkStart w:id="19" w:name="_Toc139895842"/>
      <w:bookmarkStart w:id="20" w:name="_Toc513811533"/>
      <w:r>
        <w:rPr>
          <w:rFonts w:hint="eastAsia" w:eastAsia="仿宋_GB2312"/>
          <w:sz w:val="32"/>
          <w:szCs w:val="32"/>
        </w:rPr>
        <w:t>11</w:t>
      </w:r>
      <w:r>
        <w:rPr>
          <w:rFonts w:eastAsia="仿宋_GB2312"/>
          <w:sz w:val="32"/>
          <w:szCs w:val="32"/>
        </w:rPr>
        <w:t xml:space="preserve"> </w:t>
      </w:r>
      <w:r>
        <w:rPr>
          <w:rFonts w:hint="eastAsia" w:eastAsia="仿宋_GB2312"/>
          <w:sz w:val="32"/>
          <w:szCs w:val="32"/>
        </w:rPr>
        <w:t>认证标识的使用</w:t>
      </w:r>
      <w:bookmarkEnd w:id="19"/>
      <w:bookmarkEnd w:id="20"/>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hint="eastAsia" w:eastAsia="仿宋_GB2312"/>
          <w:kern w:val="0"/>
          <w:sz w:val="32"/>
          <w:szCs w:val="32"/>
        </w:rPr>
        <w:t>认证委托人可在获得认证的</w:t>
      </w:r>
      <w:r>
        <w:rPr>
          <w:rFonts w:eastAsia="仿宋_GB2312"/>
          <w:kern w:val="0"/>
          <w:sz w:val="32"/>
          <w:szCs w:val="32"/>
        </w:rPr>
        <w:t>产品本体、铭牌、包装、随附文件（如说明书、合格证等）、操作系统、电子销售平台等位置使用或展示绿色产品标识，样式见图1。标识</w:t>
      </w:r>
      <w:r>
        <w:rPr>
          <w:rFonts w:hint="eastAsia" w:eastAsia="仿宋_GB2312"/>
          <w:kern w:val="0"/>
          <w:sz w:val="32"/>
          <w:szCs w:val="32"/>
        </w:rPr>
        <w:t>的</w:t>
      </w:r>
      <w:r>
        <w:rPr>
          <w:rFonts w:eastAsia="仿宋_GB2312"/>
          <w:kern w:val="0"/>
          <w:sz w:val="32"/>
          <w:szCs w:val="32"/>
        </w:rPr>
        <w:t>使用应符合《绿色产品标识使用管理办法》（</w:t>
      </w:r>
      <w:r>
        <w:rPr>
          <w:rFonts w:hint="eastAsia" w:eastAsia="仿宋_GB2312"/>
          <w:kern w:val="0"/>
          <w:sz w:val="32"/>
          <w:szCs w:val="32"/>
        </w:rPr>
        <w:t>市场监管总局</w:t>
      </w:r>
      <w:r>
        <w:rPr>
          <w:rFonts w:eastAsia="仿宋_GB2312"/>
          <w:kern w:val="0"/>
          <w:sz w:val="32"/>
          <w:szCs w:val="32"/>
        </w:rPr>
        <w:t>公告2019年第20号）的要求。</w:t>
      </w:r>
    </w:p>
    <w:p>
      <w:pPr>
        <w:jc w:val="center"/>
        <w:rPr>
          <w:rFonts w:eastAsia="仿宋_GB2312"/>
          <w:kern w:val="0"/>
          <w:sz w:val="32"/>
          <w:szCs w:val="32"/>
        </w:rPr>
      </w:pPr>
      <w:r>
        <w:rPr>
          <w:rFonts w:eastAsia="仿宋_GB2312"/>
          <w:kern w:val="0"/>
          <w:sz w:val="32"/>
          <w:szCs w:val="32"/>
        </w:rPr>
        <w:drawing>
          <wp:inline distT="0" distB="0" distL="0" distR="0">
            <wp:extent cx="2531745" cy="1440180"/>
            <wp:effectExtent l="0" t="0" r="1905" b="7620"/>
            <wp:docPr id="11" name="图片 11"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徽标, 公司名称&#10;&#10;描述已自动生成"/>
                    <pic:cNvPicPr>
                      <a:picLocks noChangeAspect="1"/>
                    </pic:cNvPicPr>
                  </pic:nvPicPr>
                  <pic:blipFill>
                    <a:blip r:embed="rId7"/>
                    <a:stretch>
                      <a:fillRect/>
                    </a:stretch>
                  </pic:blipFill>
                  <pic:spPr>
                    <a:xfrm>
                      <a:off x="0" y="0"/>
                      <a:ext cx="2531745" cy="1440180"/>
                    </a:xfrm>
                    <a:prstGeom prst="rect">
                      <a:avLst/>
                    </a:prstGeom>
                  </pic:spPr>
                </pic:pic>
              </a:graphicData>
            </a:graphic>
          </wp:inline>
        </w:drawing>
      </w:r>
    </w:p>
    <w:p>
      <w:pPr>
        <w:ind w:firstLine="640" w:firstLineChars="200"/>
        <w:jc w:val="center"/>
        <w:rPr>
          <w:rFonts w:eastAsia="仿宋_GB2312"/>
          <w:kern w:val="0"/>
          <w:sz w:val="32"/>
          <w:szCs w:val="32"/>
        </w:rPr>
      </w:pPr>
      <w:r>
        <w:rPr>
          <w:rFonts w:eastAsia="仿宋_GB2312"/>
          <w:kern w:val="0"/>
          <w:sz w:val="32"/>
          <w:szCs w:val="32"/>
        </w:rPr>
        <w:t>图1绿色产品标识样式</w:t>
      </w:r>
    </w:p>
    <w:p>
      <w:pPr>
        <w:pStyle w:val="3"/>
        <w:pageBreakBefore w:val="0"/>
        <w:kinsoku/>
        <w:wordWrap/>
        <w:overflowPunct/>
        <w:topLinePunct w:val="0"/>
        <w:autoSpaceDE/>
        <w:autoSpaceDN/>
        <w:bidi w:val="0"/>
        <w:adjustRightInd/>
        <w:spacing w:before="0" w:after="0" w:line="594" w:lineRule="exact"/>
        <w:ind w:firstLine="643" w:firstLineChars="200"/>
        <w:textAlignment w:val="auto"/>
        <w:rPr>
          <w:rFonts w:eastAsia="仿宋_GB2312"/>
          <w:sz w:val="32"/>
          <w:szCs w:val="32"/>
        </w:rPr>
      </w:pPr>
      <w:bookmarkStart w:id="21" w:name="_Toc513811534"/>
      <w:bookmarkStart w:id="22" w:name="_Toc139895843"/>
      <w:r>
        <w:rPr>
          <w:rFonts w:hint="eastAsia" w:eastAsia="仿宋_GB2312"/>
          <w:sz w:val="32"/>
          <w:szCs w:val="32"/>
        </w:rPr>
        <w:t>12</w:t>
      </w:r>
      <w:r>
        <w:rPr>
          <w:rFonts w:eastAsia="仿宋_GB2312"/>
          <w:sz w:val="32"/>
          <w:szCs w:val="32"/>
        </w:rPr>
        <w:t xml:space="preserve"> </w:t>
      </w:r>
      <w:r>
        <w:rPr>
          <w:rFonts w:hint="eastAsia" w:eastAsia="仿宋_GB2312"/>
          <w:sz w:val="32"/>
          <w:szCs w:val="32"/>
        </w:rPr>
        <w:t>收费</w:t>
      </w:r>
      <w:bookmarkEnd w:id="21"/>
      <w:bookmarkEnd w:id="22"/>
    </w:p>
    <w:p>
      <w:pPr>
        <w:pageBreakBefore w:val="0"/>
        <w:widowControl/>
        <w:kinsoku/>
        <w:wordWrap/>
        <w:overflowPunct/>
        <w:topLinePunct w:val="0"/>
        <w:autoSpaceDE/>
        <w:autoSpaceDN/>
        <w:bidi w:val="0"/>
        <w:adjustRightInd/>
        <w:spacing w:line="594" w:lineRule="exact"/>
        <w:ind w:firstLine="640" w:firstLineChars="200"/>
        <w:textAlignment w:val="auto"/>
        <w:rPr>
          <w:rFonts w:eastAsia="仿宋_GB2312"/>
          <w:sz w:val="32"/>
          <w:szCs w:val="32"/>
          <w:lang w:bidi="zh-TW"/>
        </w:rPr>
      </w:pPr>
      <w:bookmarkStart w:id="23" w:name="_Toc931215457"/>
      <w:bookmarkStart w:id="24" w:name="_Toc2036074810"/>
      <w:r>
        <w:rPr>
          <w:rFonts w:hint="eastAsia" w:eastAsia="仿宋_GB2312"/>
          <w:sz w:val="32"/>
          <w:szCs w:val="32"/>
          <w:lang w:bidi="zh-TW"/>
        </w:rPr>
        <w:t>认证机构、检测机构应当制定相关收费标准并公示，按收费标准向认证委托人收取费用。</w:t>
      </w:r>
      <w:bookmarkEnd w:id="23"/>
      <w:bookmarkEnd w:id="24"/>
    </w:p>
    <w:p>
      <w:pPr>
        <w:pStyle w:val="3"/>
        <w:pageBreakBefore w:val="0"/>
        <w:kinsoku/>
        <w:wordWrap/>
        <w:overflowPunct/>
        <w:topLinePunct w:val="0"/>
        <w:autoSpaceDE/>
        <w:autoSpaceDN/>
        <w:bidi w:val="0"/>
        <w:adjustRightInd/>
        <w:spacing w:before="0" w:after="0" w:line="594" w:lineRule="exact"/>
        <w:ind w:firstLine="643" w:firstLineChars="200"/>
        <w:textAlignment w:val="auto"/>
        <w:rPr>
          <w:rFonts w:eastAsia="仿宋_GB2312"/>
          <w:sz w:val="32"/>
          <w:szCs w:val="32"/>
        </w:rPr>
      </w:pPr>
      <w:bookmarkStart w:id="25" w:name="_Toc139895844"/>
      <w:r>
        <w:rPr>
          <w:rFonts w:hint="eastAsia" w:eastAsia="仿宋_GB2312"/>
          <w:sz w:val="32"/>
          <w:szCs w:val="32"/>
        </w:rPr>
        <w:t>13</w:t>
      </w:r>
      <w:bookmarkEnd w:id="25"/>
      <w:r>
        <w:rPr>
          <w:rFonts w:hint="eastAsia" w:eastAsia="仿宋_GB2312"/>
          <w:sz w:val="32"/>
          <w:szCs w:val="32"/>
        </w:rPr>
        <w:t xml:space="preserve"> </w:t>
      </w:r>
      <w:bookmarkStart w:id="26" w:name="_Toc139895845"/>
      <w:bookmarkStart w:id="27" w:name="_Toc508869136"/>
      <w:r>
        <w:rPr>
          <w:rFonts w:eastAsia="仿宋_GB2312"/>
          <w:sz w:val="32"/>
          <w:szCs w:val="32"/>
        </w:rPr>
        <w:t>其他合格评定结果的采信</w:t>
      </w:r>
      <w:bookmarkEnd w:id="26"/>
    </w:p>
    <w:p>
      <w:pPr>
        <w:pageBreakBefore w:val="0"/>
        <w:kinsoku/>
        <w:wordWrap/>
        <w:overflowPunct/>
        <w:topLinePunct w:val="0"/>
        <w:autoSpaceDE/>
        <w:autoSpaceDN/>
        <w:bidi w:val="0"/>
        <w:adjustRightInd/>
        <w:spacing w:line="594" w:lineRule="exact"/>
        <w:ind w:firstLine="640" w:firstLineChars="200"/>
        <w:textAlignment w:val="auto"/>
        <w:rPr>
          <w:rFonts w:eastAsia="仿宋_GB2312"/>
          <w:kern w:val="0"/>
          <w:sz w:val="32"/>
          <w:szCs w:val="32"/>
        </w:rPr>
      </w:pPr>
      <w:r>
        <w:rPr>
          <w:rFonts w:eastAsia="仿宋_GB2312"/>
          <w:kern w:val="0"/>
          <w:sz w:val="32"/>
          <w:szCs w:val="32"/>
        </w:rPr>
        <w:t>绿色产品认证鼓励采信其他合格评定结果。采信的内容、方式、流程等应符合认证机构的相关要求。</w:t>
      </w:r>
    </w:p>
    <w:p>
      <w:pPr>
        <w:pStyle w:val="3"/>
        <w:pageBreakBefore w:val="0"/>
        <w:kinsoku/>
        <w:wordWrap/>
        <w:overflowPunct/>
        <w:topLinePunct w:val="0"/>
        <w:autoSpaceDE/>
        <w:autoSpaceDN/>
        <w:bidi w:val="0"/>
        <w:adjustRightInd/>
        <w:spacing w:before="0" w:after="0" w:line="594" w:lineRule="exact"/>
        <w:ind w:firstLine="643" w:firstLineChars="200"/>
        <w:textAlignment w:val="auto"/>
        <w:rPr>
          <w:rFonts w:eastAsia="仿宋_GB2312"/>
          <w:sz w:val="32"/>
          <w:szCs w:val="32"/>
        </w:rPr>
      </w:pPr>
      <w:bookmarkStart w:id="28" w:name="_Toc139895846"/>
      <w:bookmarkStart w:id="29" w:name="bookmark139"/>
      <w:bookmarkStart w:id="30" w:name="_Toc1003104504"/>
      <w:bookmarkStart w:id="31" w:name="bookmark138"/>
      <w:bookmarkStart w:id="32" w:name="bookmark140"/>
      <w:r>
        <w:rPr>
          <w:rFonts w:hint="eastAsia" w:eastAsia="仿宋_GB2312"/>
          <w:sz w:val="32"/>
          <w:szCs w:val="32"/>
        </w:rPr>
        <w:t>14</w:t>
      </w:r>
      <w:r>
        <w:rPr>
          <w:rFonts w:eastAsia="仿宋_GB2312"/>
          <w:sz w:val="32"/>
          <w:szCs w:val="32"/>
        </w:rPr>
        <w:t xml:space="preserve"> </w:t>
      </w:r>
      <w:r>
        <w:rPr>
          <w:rFonts w:hint="eastAsia" w:eastAsia="仿宋_GB2312"/>
          <w:sz w:val="32"/>
          <w:szCs w:val="32"/>
        </w:rPr>
        <w:t>认证实施细则</w:t>
      </w:r>
      <w:bookmarkEnd w:id="28"/>
      <w:bookmarkEnd w:id="29"/>
      <w:bookmarkEnd w:id="30"/>
      <w:bookmarkEnd w:id="31"/>
      <w:bookmarkEnd w:id="32"/>
    </w:p>
    <w:p>
      <w:pPr>
        <w:pStyle w:val="46"/>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认证机构应当依据本实施规则的原则和要求，制定科学、合理、可操作的认证实施细则。认证实施细则应当在向国家认监委备案后对外公布实施。认证实施细则应当至少包括以下内容：</w:t>
      </w:r>
    </w:p>
    <w:p>
      <w:pPr>
        <w:pStyle w:val="46"/>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eastAsia="zh-CN"/>
        </w:rPr>
        <w:t>）认证流程及时限要求；</w:t>
      </w:r>
    </w:p>
    <w:p>
      <w:pPr>
        <w:pStyle w:val="46"/>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lang w:eastAsia="zh-CN"/>
        </w:rPr>
      </w:pPr>
      <w:bookmarkStart w:id="33" w:name="bookmark141"/>
      <w:bookmarkEnd w:id="33"/>
      <w:bookmarkStart w:id="34" w:name="bookmark142"/>
      <w:bookmarkEnd w:id="34"/>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eastAsia="zh-CN"/>
        </w:rPr>
        <w:t>）单元划分的细则及相关要求；</w:t>
      </w:r>
    </w:p>
    <w:p>
      <w:pPr>
        <w:pStyle w:val="46"/>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lang w:eastAsia="zh-CN"/>
        </w:rPr>
      </w:pPr>
      <w:bookmarkStart w:id="35" w:name="bookmark143"/>
      <w:bookmarkEnd w:id="35"/>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lang w:eastAsia="zh-CN"/>
        </w:rPr>
        <w:t>）生产企业分类管理要求；</w:t>
      </w:r>
    </w:p>
    <w:p>
      <w:pPr>
        <w:pStyle w:val="46"/>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lang w:eastAsia="zh-CN"/>
        </w:rPr>
      </w:pPr>
      <w:bookmarkStart w:id="36" w:name="bookmark144"/>
      <w:bookmarkEnd w:id="36"/>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lang w:eastAsia="zh-CN"/>
        </w:rPr>
        <w:t>）认证委托资料及相关要求；</w:t>
      </w:r>
    </w:p>
    <w:p>
      <w:pPr>
        <w:pStyle w:val="46"/>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lang w:eastAsia="zh-CN"/>
        </w:rPr>
      </w:pPr>
      <w:bookmarkStart w:id="37" w:name="bookmark145"/>
      <w:bookmarkEnd w:id="37"/>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lang w:val="en-US" w:eastAsia="zh-CN"/>
        </w:rPr>
        <w:t>5</w:t>
      </w:r>
      <w:r>
        <w:rPr>
          <w:rFonts w:hint="eastAsia" w:ascii="Times New Roman" w:hAnsi="Times New Roman" w:eastAsia="仿宋_GB2312" w:cs="Times New Roman"/>
          <w:sz w:val="32"/>
          <w:szCs w:val="32"/>
          <w:lang w:eastAsia="zh-CN"/>
        </w:rPr>
        <w:t>）样品检测要求；</w:t>
      </w:r>
    </w:p>
    <w:p>
      <w:pPr>
        <w:pStyle w:val="46"/>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lang w:eastAsia="zh-CN"/>
        </w:rPr>
      </w:pPr>
      <w:bookmarkStart w:id="38" w:name="bookmark146"/>
      <w:bookmarkEnd w:id="38"/>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lang w:val="en-US" w:eastAsia="zh-CN"/>
        </w:rPr>
        <w:t>6</w:t>
      </w:r>
      <w:r>
        <w:rPr>
          <w:rFonts w:hint="eastAsia" w:ascii="Times New Roman" w:hAnsi="Times New Roman" w:eastAsia="仿宋_GB2312" w:cs="Times New Roman"/>
          <w:sz w:val="32"/>
          <w:szCs w:val="32"/>
          <w:lang w:eastAsia="zh-CN"/>
        </w:rPr>
        <w:t>）</w:t>
      </w:r>
      <w:r>
        <w:rPr>
          <w:rFonts w:hint="eastAsia" w:ascii="仿宋_GB2312" w:hAnsi="Times New Roman" w:eastAsia="仿宋_GB2312" w:cs="Times New Roman"/>
          <w:sz w:val="32"/>
          <w:szCs w:val="32"/>
          <w:lang w:eastAsia="zh-CN"/>
        </w:rPr>
        <w:t>初始检查及获证后监督要求，包括工厂检查的覆盖性要求(含产品类别的覆盖)、生产企业的保证能力要求、</w:t>
      </w:r>
      <w:r>
        <w:rPr>
          <w:rStyle w:val="44"/>
          <w:rFonts w:hint="eastAsia" w:ascii="仿宋_GB2312" w:hAnsi="仿宋" w:eastAsia="仿宋_GB2312" w:cs="微软雅黑"/>
          <w:color w:val="000000" w:themeColor="text1"/>
          <w:sz w:val="32"/>
          <w:szCs w:val="32"/>
          <w14:textFill>
            <w14:solidFill>
              <w14:schemeClr w14:val="tx1"/>
            </w14:solidFill>
          </w14:textFill>
        </w:rPr>
        <w:t>产品一致性检查要求、影响产品绿色属性重要因素控制要求</w:t>
      </w:r>
      <w:r>
        <w:rPr>
          <w:rFonts w:hint="eastAsia" w:ascii="仿宋_GB2312" w:hAnsi="仿宋" w:eastAsia="仿宋_GB2312" w:cs="微软雅黑"/>
          <w:color w:val="000000" w:themeColor="text1"/>
          <w:sz w:val="32"/>
          <w:szCs w:val="32"/>
          <w14:textFill>
            <w14:solidFill>
              <w14:schemeClr w14:val="tx1"/>
            </w14:solidFill>
          </w14:textFill>
        </w:rPr>
        <w:t>和</w:t>
      </w:r>
      <w:r>
        <w:rPr>
          <w:rStyle w:val="44"/>
          <w:rFonts w:hint="eastAsia" w:ascii="仿宋_GB2312" w:hAnsi="仿宋" w:eastAsia="仿宋_GB2312" w:cs="微软雅黑"/>
          <w:color w:val="000000" w:themeColor="text1"/>
          <w:sz w:val="32"/>
          <w:szCs w:val="32"/>
          <w14:textFill>
            <w14:solidFill>
              <w14:schemeClr w14:val="tx1"/>
            </w14:solidFill>
          </w14:textFill>
        </w:rPr>
        <w:t>生产企业绿色评价检测要求、检查人日数要求、</w:t>
      </w:r>
      <w:r>
        <w:rPr>
          <w:rFonts w:hint="eastAsia" w:ascii="仿宋_GB2312" w:hAnsi="仿宋" w:eastAsia="仿宋_GB2312" w:cs="微软雅黑"/>
          <w:color w:val="000000" w:themeColor="text1"/>
          <w:sz w:val="32"/>
          <w:szCs w:val="32"/>
          <w14:textFill>
            <w14:solidFill>
              <w14:schemeClr w14:val="tx1"/>
            </w14:solidFill>
          </w14:textFill>
        </w:rPr>
        <w:t>监督</w:t>
      </w:r>
      <w:r>
        <w:rPr>
          <w:rFonts w:hint="eastAsia" w:ascii="仿宋_GB2312" w:hAnsi="仿宋" w:eastAsia="仿宋_GB2312" w:cs="微软雅黑"/>
          <w:sz w:val="32"/>
          <w:szCs w:val="32"/>
        </w:rPr>
        <w:t>频次、抽样检测或检查的相关要求等；</w:t>
      </w:r>
    </w:p>
    <w:p>
      <w:pPr>
        <w:pStyle w:val="46"/>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lang w:eastAsia="zh-CN"/>
        </w:rPr>
      </w:pPr>
      <w:bookmarkStart w:id="39" w:name="bookmark147"/>
      <w:bookmarkEnd w:id="39"/>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lang w:val="en-US" w:eastAsia="zh-CN"/>
        </w:rPr>
        <w:t>7</w:t>
      </w:r>
      <w:r>
        <w:rPr>
          <w:rFonts w:hint="eastAsia" w:ascii="Times New Roman" w:hAnsi="Times New Roman" w:eastAsia="仿宋_GB2312" w:cs="Times New Roman"/>
          <w:sz w:val="32"/>
          <w:szCs w:val="32"/>
          <w:lang w:eastAsia="zh-CN"/>
        </w:rPr>
        <w:t>）认证变更/扩展（含标准换版）的要求；</w:t>
      </w:r>
    </w:p>
    <w:p>
      <w:pPr>
        <w:pStyle w:val="46"/>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lang w:eastAsia="zh-CN"/>
        </w:rPr>
      </w:pPr>
      <w:bookmarkStart w:id="40" w:name="bookmark148"/>
      <w:bookmarkEnd w:id="40"/>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lang w:val="en-US" w:eastAsia="zh-CN"/>
        </w:rPr>
        <w:t>8</w:t>
      </w:r>
      <w:r>
        <w:rPr>
          <w:rFonts w:hint="eastAsia" w:ascii="Times New Roman" w:hAnsi="Times New Roman" w:eastAsia="仿宋_GB2312" w:cs="Times New Roman"/>
          <w:sz w:val="32"/>
          <w:szCs w:val="32"/>
          <w:lang w:eastAsia="zh-CN"/>
        </w:rPr>
        <w:t>）关键原材料和零部件清单及相关要求；</w:t>
      </w:r>
    </w:p>
    <w:p>
      <w:pPr>
        <w:pStyle w:val="46"/>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lang w:eastAsia="zh-CN"/>
        </w:rPr>
      </w:pPr>
      <w:bookmarkStart w:id="41" w:name="bookmark150"/>
      <w:bookmarkEnd w:id="41"/>
      <w:bookmarkStart w:id="42" w:name="bookmark149"/>
      <w:bookmarkEnd w:id="42"/>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lang w:val="en-US" w:eastAsia="zh-CN"/>
        </w:rPr>
        <w:t>9</w:t>
      </w:r>
      <w:r>
        <w:rPr>
          <w:rFonts w:hint="eastAsia" w:ascii="Times New Roman" w:hAnsi="Times New Roman" w:eastAsia="仿宋_GB2312" w:cs="Times New Roman"/>
          <w:sz w:val="32"/>
          <w:szCs w:val="32"/>
          <w:lang w:eastAsia="zh-CN"/>
        </w:rPr>
        <w:t>）收费依据及相关要求；</w:t>
      </w:r>
    </w:p>
    <w:p>
      <w:pPr>
        <w:pStyle w:val="46"/>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w:t>
      </w:r>
      <w:r>
        <w:rPr>
          <w:rFonts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eastAsia="zh-CN"/>
        </w:rPr>
        <w:t>与技术争议、申诉相关的流程及时限要求。</w:t>
      </w:r>
    </w:p>
    <w:p>
      <w:pPr>
        <w:pageBreakBefore w:val="0"/>
        <w:kinsoku/>
        <w:wordWrap/>
        <w:overflowPunct/>
        <w:topLinePunct w:val="0"/>
        <w:autoSpaceDE/>
        <w:autoSpaceDN/>
        <w:bidi w:val="0"/>
        <w:adjustRightInd/>
        <w:snapToGrid w:val="0"/>
        <w:spacing w:line="594" w:lineRule="exact"/>
        <w:jc w:val="distribute"/>
        <w:textAlignment w:val="auto"/>
        <w:rPr>
          <w:rFonts w:eastAsia="仿宋_GB2312"/>
          <w:sz w:val="32"/>
          <w:szCs w:val="32"/>
        </w:rPr>
      </w:pPr>
    </w:p>
    <w:bookmarkEnd w:id="27"/>
    <w:p>
      <w:pPr>
        <w:pStyle w:val="2"/>
        <w:pageBreakBefore w:val="0"/>
        <w:kinsoku/>
        <w:wordWrap/>
        <w:overflowPunct/>
        <w:topLinePunct w:val="0"/>
        <w:autoSpaceDE/>
        <w:autoSpaceDN/>
        <w:bidi w:val="0"/>
        <w:adjustRightInd/>
        <w:spacing w:line="594" w:lineRule="exact"/>
        <w:textAlignment w:val="auto"/>
        <w:rPr>
          <w:rFonts w:eastAsia="仿宋_GB2312"/>
        </w:rPr>
      </w:pPr>
    </w:p>
    <w:sectPr>
      <w:footerReference r:id="rId5" w:type="default"/>
      <w:pgSz w:w="11906" w:h="16838"/>
      <w:pgMar w:top="1984" w:right="1474" w:bottom="1644" w:left="1474" w:header="851" w:footer="1191"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4E83D2F-E803-4B46-A830-D63F075CE35A}"/>
  </w:font>
  <w:font w:name="Arial">
    <w:panose1 w:val="020B0604020202020204"/>
    <w:charset w:val="01"/>
    <w:family w:val="swiss"/>
    <w:pitch w:val="default"/>
    <w:sig w:usb0="E0002AFF" w:usb1="C0007843" w:usb2="00000009" w:usb3="00000000" w:csb0="400001FF" w:csb1="FFFF0000"/>
    <w:embedRegular r:id="rId2" w:fontKey="{BCF89838-4118-43EC-AABA-02AE885BEB49}"/>
  </w:font>
  <w:font w:name="黑体">
    <w:panose1 w:val="02010609060101010101"/>
    <w:charset w:val="86"/>
    <w:family w:val="auto"/>
    <w:pitch w:val="default"/>
    <w:sig w:usb0="800002BF" w:usb1="38CF7CFA" w:usb2="00000016" w:usb3="00000000" w:csb0="00040001" w:csb1="00000000"/>
    <w:embedRegular r:id="rId3" w:fontKey="{974782C8-80AA-465F-BE7D-8496EA7808DD}"/>
  </w:font>
  <w:font w:name="Courier New">
    <w:panose1 w:val="02070309020205020404"/>
    <w:charset w:val="01"/>
    <w:family w:val="modern"/>
    <w:pitch w:val="default"/>
    <w:sig w:usb0="E0002AFF" w:usb1="C0007843" w:usb2="00000009" w:usb3="00000000" w:csb0="400001FF" w:csb1="FFFF0000"/>
    <w:embedRegular r:id="rId4" w:fontKey="{FD565028-397F-47CD-9E43-45846A71A509}"/>
  </w:font>
  <w:font w:name="Symbol">
    <w:panose1 w:val="05050102010706020507"/>
    <w:charset w:val="02"/>
    <w:family w:val="roman"/>
    <w:pitch w:val="default"/>
    <w:sig w:usb0="00000000" w:usb1="00000000" w:usb2="00000000" w:usb3="00000000" w:csb0="80000000" w:csb1="00000000"/>
    <w:embedRegular r:id="rId5" w:fontKey="{BE1D1E96-B3C8-4B96-B396-0C2C459DEB1A}"/>
  </w:font>
  <w:font w:name="Calibri">
    <w:panose1 w:val="020F0502020204030204"/>
    <w:charset w:val="00"/>
    <w:family w:val="swiss"/>
    <w:pitch w:val="default"/>
    <w:sig w:usb0="E00002FF" w:usb1="4000ACFF" w:usb2="00000001" w:usb3="00000000" w:csb0="2000019F" w:csb1="00000000"/>
    <w:embedRegular r:id="rId6" w:fontKey="{CF9DBD51-B40C-4C22-B12F-7F5F14A28EC9}"/>
  </w:font>
  <w:font w:name="Cambria">
    <w:panose1 w:val="02040503050406030204"/>
    <w:charset w:val="00"/>
    <w:family w:val="roman"/>
    <w:pitch w:val="default"/>
    <w:sig w:usb0="E00002FF" w:usb1="400004FF" w:usb2="00000000" w:usb3="00000000" w:csb0="2000019F" w:csb1="00000000"/>
    <w:embedRegular r:id="rId7" w:fontKey="{12F05DE9-9D24-480C-A71A-9418D2B4756E}"/>
  </w:font>
  <w:font w:name="华文中宋">
    <w:panose1 w:val="02010600040101010101"/>
    <w:charset w:val="86"/>
    <w:family w:val="auto"/>
    <w:pitch w:val="default"/>
    <w:sig w:usb0="00000287" w:usb1="080F0000" w:usb2="00000000" w:usb3="00000000" w:csb0="0004009F" w:csb1="DFD70000"/>
    <w:embedRegular r:id="rId8" w:fontKey="{AC9CEEF8-59BD-4FE2-8301-A6ADE9ECA14D}"/>
  </w:font>
  <w:font w:name="仿宋_GB2312">
    <w:panose1 w:val="02010609030101010101"/>
    <w:charset w:val="86"/>
    <w:family w:val="modern"/>
    <w:pitch w:val="default"/>
    <w:sig w:usb0="00000001" w:usb1="080E0000" w:usb2="00000000" w:usb3="00000000" w:csb0="00040000" w:csb1="00000000"/>
    <w:embedRegular r:id="rId9" w:fontKey="{D03F6839-A834-4F7D-82EB-D11FDE377B79}"/>
  </w:font>
  <w:font w:name="方正小标宋_GBK">
    <w:altName w:val="Arial Unicode MS"/>
    <w:panose1 w:val="02000000000000000000"/>
    <w:charset w:val="86"/>
    <w:family w:val="auto"/>
    <w:pitch w:val="default"/>
    <w:sig w:usb0="00000000" w:usb1="00000000" w:usb2="00000000" w:usb3="00000000" w:csb0="00040000" w:csb1="00000000"/>
    <w:embedRegular r:id="rId10" w:fontKey="{18BB5426-DF0D-450B-BE2F-16C692B9B111}"/>
  </w:font>
  <w:font w:name="方正小标宋简体">
    <w:panose1 w:val="02010601030101010101"/>
    <w:charset w:val="86"/>
    <w:family w:val="auto"/>
    <w:pitch w:val="default"/>
    <w:sig w:usb0="00000001" w:usb1="080E0000" w:usb2="00000000" w:usb3="00000000" w:csb0="00040000" w:csb1="00000000"/>
    <w:embedRegular r:id="rId11" w:fontKey="{8120703C-A501-49EA-A844-5DF36C4875CF}"/>
  </w:font>
  <w:font w:name="华文楷体">
    <w:panose1 w:val="02010600040101010101"/>
    <w:charset w:val="86"/>
    <w:family w:val="auto"/>
    <w:pitch w:val="default"/>
    <w:sig w:usb0="00000287" w:usb1="080F0000" w:usb2="00000000" w:usb3="00000000" w:csb0="0004009F" w:csb1="DFD70000"/>
    <w:embedRegular r:id="rId12" w:fontKey="{416336BD-92A3-4C24-8702-1F137CBDDBC9}"/>
  </w:font>
  <w:font w:name="仿宋">
    <w:panose1 w:val="02010609060101010101"/>
    <w:charset w:val="86"/>
    <w:family w:val="modern"/>
    <w:pitch w:val="default"/>
    <w:sig w:usb0="800002BF" w:usb1="38CF7CFA" w:usb2="00000016" w:usb3="00000000" w:csb0="00040001" w:csb1="00000000"/>
    <w:embedRegular r:id="rId13" w:fontKey="{FA5C3EF9-09D9-4E00-836A-0353DCA47C6F}"/>
  </w:font>
  <w:font w:name="微软雅黑">
    <w:panose1 w:val="020B0503020204020204"/>
    <w:charset w:val="86"/>
    <w:family w:val="swiss"/>
    <w:pitch w:val="default"/>
    <w:sig w:usb0="80000287" w:usb1="280F3C52" w:usb2="00000016" w:usb3="00000000" w:csb0="0004001F" w:csb1="00000000"/>
    <w:embedRegular r:id="rId14" w:fontKey="{8C389F67-0611-455B-AAB2-2F4309CB63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160258"/>
      <w:showingPlcHdr/>
    </w:sdtPr>
    <w:sdtContent>
      <w:p>
        <w:pPr>
          <w:pStyle w:val="8"/>
          <w:jc w:val="center"/>
        </w:pPr>
        <w:r>
          <w:t xml:space="preserve">     </w:t>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15" w:leftChars="150" w:right="315" w:rightChars="150"/>
      <w:jc w:val="both"/>
    </w:pPr>
    <w:r>
      <w:rPr>
        <w:rFonts w:hint="eastAsia" w:ascii="宋体" w:hAnsi="宋体"/>
        <w:sz w:val="28"/>
        <w:szCs w:val="28"/>
        <w:lang w:val="zh-CN"/>
      </w:rPr>
      <w:t>—</w:t>
    </w:r>
    <w:r>
      <w:rPr>
        <w:rFonts w:ascii="宋体" w:hAnsi="宋体"/>
        <w:sz w:val="28"/>
        <w:szCs w:val="28"/>
        <w:lang w:val="zh-CN"/>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3</w:t>
    </w:r>
    <w:r>
      <w:rPr>
        <w:rFonts w:ascii="宋体" w:hAnsi="宋体"/>
        <w:sz w:val="28"/>
        <w:szCs w:val="28"/>
      </w:rPr>
      <w:fldChar w:fldCharType="end"/>
    </w:r>
    <w:r>
      <w:rPr>
        <w:rFonts w:ascii="宋体" w:hAnsi="宋体"/>
        <w:sz w:val="28"/>
        <w:szCs w:val="28"/>
        <w:lang w:val="zh-CN"/>
      </w:rPr>
      <w:t xml:space="preserve"> </w:t>
    </w:r>
    <w:r>
      <w:rPr>
        <w:rFonts w:hint="eastAsia" w:ascii="宋体" w:hAnsi="宋体"/>
        <w:sz w:val="28"/>
        <w:szCs w:val="28"/>
        <w:lang w:val="zh-CN"/>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15" w:leftChars="150" w:right="315" w:rightChars="150"/>
      <w:jc w:val="right"/>
    </w:pPr>
    <w:r>
      <w:rPr>
        <w:rFonts w:hint="eastAsia" w:ascii="宋体" w:hAnsi="宋体"/>
        <w:sz w:val="28"/>
        <w:szCs w:val="28"/>
        <w:lang w:val="zh-CN"/>
      </w:rPr>
      <w:t>—</w:t>
    </w:r>
    <w:r>
      <w:rPr>
        <w:rFonts w:ascii="宋体" w:hAnsi="宋体"/>
        <w:sz w:val="28"/>
        <w:szCs w:val="28"/>
        <w:lang w:val="zh-CN"/>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3</w:t>
    </w:r>
    <w:r>
      <w:rPr>
        <w:rFonts w:ascii="宋体" w:hAnsi="宋体"/>
        <w:sz w:val="28"/>
        <w:szCs w:val="28"/>
      </w:rPr>
      <w:fldChar w:fldCharType="end"/>
    </w:r>
    <w:r>
      <w:rPr>
        <w:rFonts w:ascii="宋体" w:hAnsi="宋体"/>
        <w:sz w:val="28"/>
        <w:szCs w:val="28"/>
        <w:lang w:val="zh-CN"/>
      </w:rPr>
      <w:t xml:space="preserve"> </w:t>
    </w:r>
    <w:r>
      <w:rPr>
        <w:rFonts w:hint="eastAsia" w:ascii="宋体" w:hAnsi="宋体"/>
        <w:sz w:val="28"/>
        <w:szCs w:val="28"/>
        <w:lang w:val="zh-CN"/>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54E"/>
    <w:rsid w:val="00001C52"/>
    <w:rsid w:val="00007D32"/>
    <w:rsid w:val="00011C82"/>
    <w:rsid w:val="0001456D"/>
    <w:rsid w:val="00014A36"/>
    <w:rsid w:val="00015540"/>
    <w:rsid w:val="00016D36"/>
    <w:rsid w:val="00023E0F"/>
    <w:rsid w:val="0002408D"/>
    <w:rsid w:val="000248D0"/>
    <w:rsid w:val="00024CB6"/>
    <w:rsid w:val="00032A21"/>
    <w:rsid w:val="00032F2F"/>
    <w:rsid w:val="00045699"/>
    <w:rsid w:val="0004717D"/>
    <w:rsid w:val="00051489"/>
    <w:rsid w:val="000526B1"/>
    <w:rsid w:val="00052C5F"/>
    <w:rsid w:val="00052D3D"/>
    <w:rsid w:val="0005620E"/>
    <w:rsid w:val="00056B41"/>
    <w:rsid w:val="00056B77"/>
    <w:rsid w:val="00057948"/>
    <w:rsid w:val="0006014B"/>
    <w:rsid w:val="00065661"/>
    <w:rsid w:val="000703CB"/>
    <w:rsid w:val="000741CF"/>
    <w:rsid w:val="00075481"/>
    <w:rsid w:val="000818BD"/>
    <w:rsid w:val="000820B4"/>
    <w:rsid w:val="00082BAF"/>
    <w:rsid w:val="00086449"/>
    <w:rsid w:val="000870F4"/>
    <w:rsid w:val="00094AA9"/>
    <w:rsid w:val="000A32C8"/>
    <w:rsid w:val="000A5CC9"/>
    <w:rsid w:val="000B0072"/>
    <w:rsid w:val="000B024B"/>
    <w:rsid w:val="000B3BC5"/>
    <w:rsid w:val="000B430F"/>
    <w:rsid w:val="000C002C"/>
    <w:rsid w:val="000C01D4"/>
    <w:rsid w:val="000C0208"/>
    <w:rsid w:val="000C0277"/>
    <w:rsid w:val="000C05C1"/>
    <w:rsid w:val="000C1E14"/>
    <w:rsid w:val="000C4B03"/>
    <w:rsid w:val="000C525A"/>
    <w:rsid w:val="000C543B"/>
    <w:rsid w:val="000C5689"/>
    <w:rsid w:val="000C7A66"/>
    <w:rsid w:val="000C7D57"/>
    <w:rsid w:val="000D2BD1"/>
    <w:rsid w:val="000D3EF3"/>
    <w:rsid w:val="000D4EC2"/>
    <w:rsid w:val="000E2867"/>
    <w:rsid w:val="000E2BE5"/>
    <w:rsid w:val="000E7CD6"/>
    <w:rsid w:val="000F1481"/>
    <w:rsid w:val="000F2098"/>
    <w:rsid w:val="000F3C35"/>
    <w:rsid w:val="000F3F9B"/>
    <w:rsid w:val="00113F21"/>
    <w:rsid w:val="00117EC3"/>
    <w:rsid w:val="001227C9"/>
    <w:rsid w:val="00122EE7"/>
    <w:rsid w:val="00126985"/>
    <w:rsid w:val="00130E5C"/>
    <w:rsid w:val="00131EEE"/>
    <w:rsid w:val="00137BDF"/>
    <w:rsid w:val="0016093A"/>
    <w:rsid w:val="00166564"/>
    <w:rsid w:val="00174818"/>
    <w:rsid w:val="00176C20"/>
    <w:rsid w:val="001831BF"/>
    <w:rsid w:val="00184AA1"/>
    <w:rsid w:val="00192A03"/>
    <w:rsid w:val="0019497C"/>
    <w:rsid w:val="00195CFD"/>
    <w:rsid w:val="001A50A8"/>
    <w:rsid w:val="001B111B"/>
    <w:rsid w:val="001B5F1A"/>
    <w:rsid w:val="001B63BB"/>
    <w:rsid w:val="001B6633"/>
    <w:rsid w:val="001D1E34"/>
    <w:rsid w:val="001D38A7"/>
    <w:rsid w:val="001D67EB"/>
    <w:rsid w:val="001D7A1B"/>
    <w:rsid w:val="001E1C90"/>
    <w:rsid w:val="001E2CDC"/>
    <w:rsid w:val="001E6F73"/>
    <w:rsid w:val="001E742A"/>
    <w:rsid w:val="001E7AA7"/>
    <w:rsid w:val="001F56ED"/>
    <w:rsid w:val="0020227F"/>
    <w:rsid w:val="00205D6C"/>
    <w:rsid w:val="0021141D"/>
    <w:rsid w:val="00211902"/>
    <w:rsid w:val="00211D3B"/>
    <w:rsid w:val="00212824"/>
    <w:rsid w:val="00212A7A"/>
    <w:rsid w:val="00213395"/>
    <w:rsid w:val="00215318"/>
    <w:rsid w:val="00217CD3"/>
    <w:rsid w:val="0022087D"/>
    <w:rsid w:val="00224115"/>
    <w:rsid w:val="002263FD"/>
    <w:rsid w:val="00226418"/>
    <w:rsid w:val="002271EE"/>
    <w:rsid w:val="00230D4E"/>
    <w:rsid w:val="00235A4D"/>
    <w:rsid w:val="002509AF"/>
    <w:rsid w:val="00252E60"/>
    <w:rsid w:val="00261CA7"/>
    <w:rsid w:val="00274BF4"/>
    <w:rsid w:val="002807A3"/>
    <w:rsid w:val="002870FC"/>
    <w:rsid w:val="00294CBD"/>
    <w:rsid w:val="00297498"/>
    <w:rsid w:val="002A5A50"/>
    <w:rsid w:val="002A71B6"/>
    <w:rsid w:val="002A7DF7"/>
    <w:rsid w:val="002B184B"/>
    <w:rsid w:val="002B5381"/>
    <w:rsid w:val="002B54B2"/>
    <w:rsid w:val="002B6904"/>
    <w:rsid w:val="002B7932"/>
    <w:rsid w:val="002C1E9D"/>
    <w:rsid w:val="002C3E41"/>
    <w:rsid w:val="002E1AC1"/>
    <w:rsid w:val="002E6593"/>
    <w:rsid w:val="002F22E7"/>
    <w:rsid w:val="002F6446"/>
    <w:rsid w:val="002F7601"/>
    <w:rsid w:val="00304125"/>
    <w:rsid w:val="0030580D"/>
    <w:rsid w:val="00307C91"/>
    <w:rsid w:val="00313C7A"/>
    <w:rsid w:val="00314B11"/>
    <w:rsid w:val="003208D6"/>
    <w:rsid w:val="003226FC"/>
    <w:rsid w:val="00325525"/>
    <w:rsid w:val="003354C1"/>
    <w:rsid w:val="00355017"/>
    <w:rsid w:val="00356E9A"/>
    <w:rsid w:val="00364694"/>
    <w:rsid w:val="00366601"/>
    <w:rsid w:val="0037088B"/>
    <w:rsid w:val="00371B5D"/>
    <w:rsid w:val="003721CC"/>
    <w:rsid w:val="00374B2A"/>
    <w:rsid w:val="00374E6C"/>
    <w:rsid w:val="00375FFB"/>
    <w:rsid w:val="00377096"/>
    <w:rsid w:val="00391224"/>
    <w:rsid w:val="00392EC1"/>
    <w:rsid w:val="00396B75"/>
    <w:rsid w:val="00397EC5"/>
    <w:rsid w:val="003A5BC4"/>
    <w:rsid w:val="003A6929"/>
    <w:rsid w:val="003B6C7F"/>
    <w:rsid w:val="003D0A34"/>
    <w:rsid w:val="003D30FE"/>
    <w:rsid w:val="003D404A"/>
    <w:rsid w:val="003E2F22"/>
    <w:rsid w:val="003E3201"/>
    <w:rsid w:val="003E3ED8"/>
    <w:rsid w:val="003F0B1F"/>
    <w:rsid w:val="003F6F25"/>
    <w:rsid w:val="00422D29"/>
    <w:rsid w:val="00423F13"/>
    <w:rsid w:val="00427837"/>
    <w:rsid w:val="0042787F"/>
    <w:rsid w:val="00435230"/>
    <w:rsid w:val="00435536"/>
    <w:rsid w:val="00435FCF"/>
    <w:rsid w:val="00436EFB"/>
    <w:rsid w:val="004408B7"/>
    <w:rsid w:val="0044405D"/>
    <w:rsid w:val="004527B7"/>
    <w:rsid w:val="00463442"/>
    <w:rsid w:val="00464A39"/>
    <w:rsid w:val="00467A12"/>
    <w:rsid w:val="00470CC9"/>
    <w:rsid w:val="00472612"/>
    <w:rsid w:val="0047472F"/>
    <w:rsid w:val="004814C7"/>
    <w:rsid w:val="00496566"/>
    <w:rsid w:val="00497EE9"/>
    <w:rsid w:val="004A3E83"/>
    <w:rsid w:val="004A5BCC"/>
    <w:rsid w:val="004A5BDE"/>
    <w:rsid w:val="004A6567"/>
    <w:rsid w:val="004A7971"/>
    <w:rsid w:val="004B4811"/>
    <w:rsid w:val="004B645B"/>
    <w:rsid w:val="004D13BD"/>
    <w:rsid w:val="004D54B4"/>
    <w:rsid w:val="004E170A"/>
    <w:rsid w:val="004E2457"/>
    <w:rsid w:val="004E7A27"/>
    <w:rsid w:val="004F159F"/>
    <w:rsid w:val="00512BF9"/>
    <w:rsid w:val="00517EA3"/>
    <w:rsid w:val="00523D67"/>
    <w:rsid w:val="00526BC5"/>
    <w:rsid w:val="005407A6"/>
    <w:rsid w:val="00540D32"/>
    <w:rsid w:val="005441B7"/>
    <w:rsid w:val="005538BC"/>
    <w:rsid w:val="005559EB"/>
    <w:rsid w:val="00560007"/>
    <w:rsid w:val="00561E17"/>
    <w:rsid w:val="00563D7F"/>
    <w:rsid w:val="005673EE"/>
    <w:rsid w:val="005679E9"/>
    <w:rsid w:val="00573253"/>
    <w:rsid w:val="005739CB"/>
    <w:rsid w:val="005772EA"/>
    <w:rsid w:val="0058168A"/>
    <w:rsid w:val="00596875"/>
    <w:rsid w:val="005A487B"/>
    <w:rsid w:val="005B26A9"/>
    <w:rsid w:val="005B3134"/>
    <w:rsid w:val="005B5263"/>
    <w:rsid w:val="005B5D79"/>
    <w:rsid w:val="005B7BD2"/>
    <w:rsid w:val="005C0A3C"/>
    <w:rsid w:val="005C7CBE"/>
    <w:rsid w:val="005D0A85"/>
    <w:rsid w:val="005E082D"/>
    <w:rsid w:val="005E4160"/>
    <w:rsid w:val="005E59A5"/>
    <w:rsid w:val="005F17F3"/>
    <w:rsid w:val="005F219B"/>
    <w:rsid w:val="005F21CB"/>
    <w:rsid w:val="005F3D66"/>
    <w:rsid w:val="005F5E49"/>
    <w:rsid w:val="005F5F1F"/>
    <w:rsid w:val="005F6B4C"/>
    <w:rsid w:val="005F78DD"/>
    <w:rsid w:val="0060108F"/>
    <w:rsid w:val="006074FA"/>
    <w:rsid w:val="00607A67"/>
    <w:rsid w:val="00621AAD"/>
    <w:rsid w:val="0062734A"/>
    <w:rsid w:val="0063181F"/>
    <w:rsid w:val="00636BED"/>
    <w:rsid w:val="006408A5"/>
    <w:rsid w:val="00641602"/>
    <w:rsid w:val="00642FE4"/>
    <w:rsid w:val="00645ABA"/>
    <w:rsid w:val="00645F26"/>
    <w:rsid w:val="00647975"/>
    <w:rsid w:val="00647A0E"/>
    <w:rsid w:val="006509E5"/>
    <w:rsid w:val="006524FF"/>
    <w:rsid w:val="006532B8"/>
    <w:rsid w:val="00667EE1"/>
    <w:rsid w:val="00675A59"/>
    <w:rsid w:val="00676C84"/>
    <w:rsid w:val="0069577A"/>
    <w:rsid w:val="006968B5"/>
    <w:rsid w:val="006A238D"/>
    <w:rsid w:val="006A3F36"/>
    <w:rsid w:val="006A4C03"/>
    <w:rsid w:val="006B0BD6"/>
    <w:rsid w:val="006B0F87"/>
    <w:rsid w:val="006B30A0"/>
    <w:rsid w:val="006B5AD0"/>
    <w:rsid w:val="006C1680"/>
    <w:rsid w:val="006C703A"/>
    <w:rsid w:val="006D1A4C"/>
    <w:rsid w:val="006D2F43"/>
    <w:rsid w:val="006D2F5B"/>
    <w:rsid w:val="006D3E06"/>
    <w:rsid w:val="006F3CA0"/>
    <w:rsid w:val="00705D37"/>
    <w:rsid w:val="007129B6"/>
    <w:rsid w:val="0071352F"/>
    <w:rsid w:val="00713D0A"/>
    <w:rsid w:val="007221FB"/>
    <w:rsid w:val="00722899"/>
    <w:rsid w:val="00722E14"/>
    <w:rsid w:val="00722E6A"/>
    <w:rsid w:val="00736B55"/>
    <w:rsid w:val="00743275"/>
    <w:rsid w:val="0074639B"/>
    <w:rsid w:val="007474E1"/>
    <w:rsid w:val="007515D9"/>
    <w:rsid w:val="00752F6E"/>
    <w:rsid w:val="007603CD"/>
    <w:rsid w:val="00762757"/>
    <w:rsid w:val="0077245E"/>
    <w:rsid w:val="00795181"/>
    <w:rsid w:val="00796759"/>
    <w:rsid w:val="007969E9"/>
    <w:rsid w:val="007A31A6"/>
    <w:rsid w:val="007A3563"/>
    <w:rsid w:val="007A682E"/>
    <w:rsid w:val="007A6AC1"/>
    <w:rsid w:val="007A72BF"/>
    <w:rsid w:val="007B05E8"/>
    <w:rsid w:val="007B3F85"/>
    <w:rsid w:val="007C2334"/>
    <w:rsid w:val="007C54C0"/>
    <w:rsid w:val="007D2588"/>
    <w:rsid w:val="007D775E"/>
    <w:rsid w:val="007E00EE"/>
    <w:rsid w:val="007E0AE6"/>
    <w:rsid w:val="007E52F9"/>
    <w:rsid w:val="007E77AE"/>
    <w:rsid w:val="007F6E6C"/>
    <w:rsid w:val="00801495"/>
    <w:rsid w:val="00801997"/>
    <w:rsid w:val="00811E3E"/>
    <w:rsid w:val="00815427"/>
    <w:rsid w:val="008307FA"/>
    <w:rsid w:val="008338FF"/>
    <w:rsid w:val="00835889"/>
    <w:rsid w:val="008456D8"/>
    <w:rsid w:val="00851CDE"/>
    <w:rsid w:val="008537BD"/>
    <w:rsid w:val="00857703"/>
    <w:rsid w:val="00860A00"/>
    <w:rsid w:val="00860E59"/>
    <w:rsid w:val="00862E46"/>
    <w:rsid w:val="0086501D"/>
    <w:rsid w:val="00865347"/>
    <w:rsid w:val="00882BF1"/>
    <w:rsid w:val="00883BAF"/>
    <w:rsid w:val="008852B7"/>
    <w:rsid w:val="00896B8F"/>
    <w:rsid w:val="008B50CC"/>
    <w:rsid w:val="008B5D5A"/>
    <w:rsid w:val="008C29B8"/>
    <w:rsid w:val="008D091F"/>
    <w:rsid w:val="008D0CE8"/>
    <w:rsid w:val="008D154E"/>
    <w:rsid w:val="008D4975"/>
    <w:rsid w:val="008D49E8"/>
    <w:rsid w:val="008D5FBB"/>
    <w:rsid w:val="008D7E87"/>
    <w:rsid w:val="008E3180"/>
    <w:rsid w:val="008E3BCE"/>
    <w:rsid w:val="008E6380"/>
    <w:rsid w:val="008F1811"/>
    <w:rsid w:val="008F36DE"/>
    <w:rsid w:val="008F3CB7"/>
    <w:rsid w:val="008F40E9"/>
    <w:rsid w:val="008F6193"/>
    <w:rsid w:val="008F7042"/>
    <w:rsid w:val="009036A4"/>
    <w:rsid w:val="00905D54"/>
    <w:rsid w:val="00912F26"/>
    <w:rsid w:val="009167E2"/>
    <w:rsid w:val="00926F80"/>
    <w:rsid w:val="009348C4"/>
    <w:rsid w:val="00941465"/>
    <w:rsid w:val="00941FFD"/>
    <w:rsid w:val="00945D17"/>
    <w:rsid w:val="009466E7"/>
    <w:rsid w:val="00946AD7"/>
    <w:rsid w:val="009550A0"/>
    <w:rsid w:val="00956B66"/>
    <w:rsid w:val="00957528"/>
    <w:rsid w:val="009633A5"/>
    <w:rsid w:val="009706DB"/>
    <w:rsid w:val="00970F24"/>
    <w:rsid w:val="00976270"/>
    <w:rsid w:val="009801E3"/>
    <w:rsid w:val="00981FE9"/>
    <w:rsid w:val="00990BE9"/>
    <w:rsid w:val="00997D2F"/>
    <w:rsid w:val="009A2999"/>
    <w:rsid w:val="009A37A3"/>
    <w:rsid w:val="009A5129"/>
    <w:rsid w:val="009A7A00"/>
    <w:rsid w:val="009B0D0D"/>
    <w:rsid w:val="009B3ABE"/>
    <w:rsid w:val="009B401D"/>
    <w:rsid w:val="009B54AF"/>
    <w:rsid w:val="009C33A4"/>
    <w:rsid w:val="009C6280"/>
    <w:rsid w:val="009D089A"/>
    <w:rsid w:val="009D2637"/>
    <w:rsid w:val="009D3973"/>
    <w:rsid w:val="009E1652"/>
    <w:rsid w:val="009E29D1"/>
    <w:rsid w:val="009F6982"/>
    <w:rsid w:val="00A00165"/>
    <w:rsid w:val="00A02601"/>
    <w:rsid w:val="00A05203"/>
    <w:rsid w:val="00A0600C"/>
    <w:rsid w:val="00A121CF"/>
    <w:rsid w:val="00A12B77"/>
    <w:rsid w:val="00A15881"/>
    <w:rsid w:val="00A16D20"/>
    <w:rsid w:val="00A2783B"/>
    <w:rsid w:val="00A35DA3"/>
    <w:rsid w:val="00A375F5"/>
    <w:rsid w:val="00A42767"/>
    <w:rsid w:val="00A4298D"/>
    <w:rsid w:val="00A43EA8"/>
    <w:rsid w:val="00A44668"/>
    <w:rsid w:val="00A478F3"/>
    <w:rsid w:val="00A60709"/>
    <w:rsid w:val="00A608F9"/>
    <w:rsid w:val="00A77BA1"/>
    <w:rsid w:val="00A85807"/>
    <w:rsid w:val="00A86086"/>
    <w:rsid w:val="00A91B1E"/>
    <w:rsid w:val="00A92987"/>
    <w:rsid w:val="00AA5D51"/>
    <w:rsid w:val="00AB05FD"/>
    <w:rsid w:val="00AB0E9A"/>
    <w:rsid w:val="00AB3C0B"/>
    <w:rsid w:val="00AB471F"/>
    <w:rsid w:val="00AB518A"/>
    <w:rsid w:val="00AC0A16"/>
    <w:rsid w:val="00AC0F21"/>
    <w:rsid w:val="00AC407B"/>
    <w:rsid w:val="00AC6087"/>
    <w:rsid w:val="00AD0296"/>
    <w:rsid w:val="00AD073F"/>
    <w:rsid w:val="00AD6980"/>
    <w:rsid w:val="00AD6BE7"/>
    <w:rsid w:val="00AD6BEE"/>
    <w:rsid w:val="00AD7685"/>
    <w:rsid w:val="00AE05EE"/>
    <w:rsid w:val="00AE2F9F"/>
    <w:rsid w:val="00B007C9"/>
    <w:rsid w:val="00B0509B"/>
    <w:rsid w:val="00B1004B"/>
    <w:rsid w:val="00B10BA7"/>
    <w:rsid w:val="00B12A5D"/>
    <w:rsid w:val="00B12B4D"/>
    <w:rsid w:val="00B15B9D"/>
    <w:rsid w:val="00B25DF7"/>
    <w:rsid w:val="00B2616B"/>
    <w:rsid w:val="00B3031A"/>
    <w:rsid w:val="00B36B4A"/>
    <w:rsid w:val="00B3732C"/>
    <w:rsid w:val="00B37AA0"/>
    <w:rsid w:val="00B4491B"/>
    <w:rsid w:val="00B44FA6"/>
    <w:rsid w:val="00B474BB"/>
    <w:rsid w:val="00B475E7"/>
    <w:rsid w:val="00B50890"/>
    <w:rsid w:val="00B53ACE"/>
    <w:rsid w:val="00B574D4"/>
    <w:rsid w:val="00B577C1"/>
    <w:rsid w:val="00B67C7C"/>
    <w:rsid w:val="00B82717"/>
    <w:rsid w:val="00B87985"/>
    <w:rsid w:val="00B911C1"/>
    <w:rsid w:val="00B92C4F"/>
    <w:rsid w:val="00B96127"/>
    <w:rsid w:val="00BA0F00"/>
    <w:rsid w:val="00BA1AF6"/>
    <w:rsid w:val="00BA4A6D"/>
    <w:rsid w:val="00BA78A1"/>
    <w:rsid w:val="00BB0713"/>
    <w:rsid w:val="00BB1988"/>
    <w:rsid w:val="00BB1B2A"/>
    <w:rsid w:val="00BB3185"/>
    <w:rsid w:val="00BB3193"/>
    <w:rsid w:val="00BD3B30"/>
    <w:rsid w:val="00BD5F14"/>
    <w:rsid w:val="00BD6629"/>
    <w:rsid w:val="00BD6B04"/>
    <w:rsid w:val="00BE1BA6"/>
    <w:rsid w:val="00BE1F5D"/>
    <w:rsid w:val="00BE3ACA"/>
    <w:rsid w:val="00BF151C"/>
    <w:rsid w:val="00BF35C4"/>
    <w:rsid w:val="00BF5AC6"/>
    <w:rsid w:val="00C00CEA"/>
    <w:rsid w:val="00C03F5D"/>
    <w:rsid w:val="00C2086D"/>
    <w:rsid w:val="00C229C1"/>
    <w:rsid w:val="00C31F5E"/>
    <w:rsid w:val="00C34BD6"/>
    <w:rsid w:val="00C376A1"/>
    <w:rsid w:val="00C4127F"/>
    <w:rsid w:val="00C45234"/>
    <w:rsid w:val="00C45E4F"/>
    <w:rsid w:val="00C4733C"/>
    <w:rsid w:val="00C4754D"/>
    <w:rsid w:val="00C50A67"/>
    <w:rsid w:val="00C50FDC"/>
    <w:rsid w:val="00C55463"/>
    <w:rsid w:val="00C55D47"/>
    <w:rsid w:val="00C57415"/>
    <w:rsid w:val="00C66F9C"/>
    <w:rsid w:val="00C71B49"/>
    <w:rsid w:val="00C74C2D"/>
    <w:rsid w:val="00C77772"/>
    <w:rsid w:val="00C8562D"/>
    <w:rsid w:val="00C859F4"/>
    <w:rsid w:val="00C8651F"/>
    <w:rsid w:val="00C87E6B"/>
    <w:rsid w:val="00C93242"/>
    <w:rsid w:val="00CA329C"/>
    <w:rsid w:val="00CA3E24"/>
    <w:rsid w:val="00CB3420"/>
    <w:rsid w:val="00CB62E9"/>
    <w:rsid w:val="00CB730D"/>
    <w:rsid w:val="00CB7CF6"/>
    <w:rsid w:val="00CC54BB"/>
    <w:rsid w:val="00CC54E9"/>
    <w:rsid w:val="00CC6579"/>
    <w:rsid w:val="00CD4DC9"/>
    <w:rsid w:val="00CE1C38"/>
    <w:rsid w:val="00CE544E"/>
    <w:rsid w:val="00CE769E"/>
    <w:rsid w:val="00CE7CEB"/>
    <w:rsid w:val="00CF46A2"/>
    <w:rsid w:val="00D025A1"/>
    <w:rsid w:val="00D02A0F"/>
    <w:rsid w:val="00D1167F"/>
    <w:rsid w:val="00D16443"/>
    <w:rsid w:val="00D35C67"/>
    <w:rsid w:val="00D360E3"/>
    <w:rsid w:val="00D37FAC"/>
    <w:rsid w:val="00D4087C"/>
    <w:rsid w:val="00D41057"/>
    <w:rsid w:val="00D418D6"/>
    <w:rsid w:val="00D43E5B"/>
    <w:rsid w:val="00D44375"/>
    <w:rsid w:val="00D455EA"/>
    <w:rsid w:val="00D530E4"/>
    <w:rsid w:val="00D541F8"/>
    <w:rsid w:val="00D5466A"/>
    <w:rsid w:val="00D550DD"/>
    <w:rsid w:val="00D55787"/>
    <w:rsid w:val="00D61634"/>
    <w:rsid w:val="00D710F5"/>
    <w:rsid w:val="00D71966"/>
    <w:rsid w:val="00D72EE9"/>
    <w:rsid w:val="00D7487A"/>
    <w:rsid w:val="00D873AC"/>
    <w:rsid w:val="00D96142"/>
    <w:rsid w:val="00DA289F"/>
    <w:rsid w:val="00DA3308"/>
    <w:rsid w:val="00DA5928"/>
    <w:rsid w:val="00DA5E80"/>
    <w:rsid w:val="00DA7F70"/>
    <w:rsid w:val="00DB1820"/>
    <w:rsid w:val="00DB20FF"/>
    <w:rsid w:val="00DB6431"/>
    <w:rsid w:val="00DB78F8"/>
    <w:rsid w:val="00DC105E"/>
    <w:rsid w:val="00DC2FA3"/>
    <w:rsid w:val="00DC5909"/>
    <w:rsid w:val="00DD0DEF"/>
    <w:rsid w:val="00DD2700"/>
    <w:rsid w:val="00DD2DEB"/>
    <w:rsid w:val="00DD2E06"/>
    <w:rsid w:val="00DD3BC8"/>
    <w:rsid w:val="00DD67B8"/>
    <w:rsid w:val="00DE12B1"/>
    <w:rsid w:val="00E02EE8"/>
    <w:rsid w:val="00E04866"/>
    <w:rsid w:val="00E05B9D"/>
    <w:rsid w:val="00E11566"/>
    <w:rsid w:val="00E12AB3"/>
    <w:rsid w:val="00E171D3"/>
    <w:rsid w:val="00E17239"/>
    <w:rsid w:val="00E222B5"/>
    <w:rsid w:val="00E32B2E"/>
    <w:rsid w:val="00E403C6"/>
    <w:rsid w:val="00E415F1"/>
    <w:rsid w:val="00E57618"/>
    <w:rsid w:val="00E62886"/>
    <w:rsid w:val="00E73486"/>
    <w:rsid w:val="00E736EE"/>
    <w:rsid w:val="00E751CE"/>
    <w:rsid w:val="00E76EA4"/>
    <w:rsid w:val="00E832E1"/>
    <w:rsid w:val="00E8509F"/>
    <w:rsid w:val="00E86BC9"/>
    <w:rsid w:val="00E90415"/>
    <w:rsid w:val="00E93214"/>
    <w:rsid w:val="00EA7ABA"/>
    <w:rsid w:val="00EB2ADB"/>
    <w:rsid w:val="00EC5653"/>
    <w:rsid w:val="00EC5A25"/>
    <w:rsid w:val="00EC7120"/>
    <w:rsid w:val="00ED41BE"/>
    <w:rsid w:val="00ED689D"/>
    <w:rsid w:val="00ED72E2"/>
    <w:rsid w:val="00EE042C"/>
    <w:rsid w:val="00EE1936"/>
    <w:rsid w:val="00EF01FD"/>
    <w:rsid w:val="00EF09CC"/>
    <w:rsid w:val="00EF1157"/>
    <w:rsid w:val="00EF4C3A"/>
    <w:rsid w:val="00F00DBE"/>
    <w:rsid w:val="00F03A39"/>
    <w:rsid w:val="00F06E9C"/>
    <w:rsid w:val="00F12C93"/>
    <w:rsid w:val="00F153FF"/>
    <w:rsid w:val="00F22133"/>
    <w:rsid w:val="00F25A0C"/>
    <w:rsid w:val="00F27416"/>
    <w:rsid w:val="00F3122F"/>
    <w:rsid w:val="00F317AB"/>
    <w:rsid w:val="00F35397"/>
    <w:rsid w:val="00F35AB6"/>
    <w:rsid w:val="00F401DC"/>
    <w:rsid w:val="00F406B0"/>
    <w:rsid w:val="00F44122"/>
    <w:rsid w:val="00F546E9"/>
    <w:rsid w:val="00F63FAD"/>
    <w:rsid w:val="00F65C34"/>
    <w:rsid w:val="00F714BB"/>
    <w:rsid w:val="00F7265C"/>
    <w:rsid w:val="00F7365D"/>
    <w:rsid w:val="00F752E1"/>
    <w:rsid w:val="00F85A5F"/>
    <w:rsid w:val="00F8617C"/>
    <w:rsid w:val="00F943F3"/>
    <w:rsid w:val="00F9717A"/>
    <w:rsid w:val="00FA26DA"/>
    <w:rsid w:val="00FA6B62"/>
    <w:rsid w:val="00FB069F"/>
    <w:rsid w:val="00FB09AC"/>
    <w:rsid w:val="00FB1272"/>
    <w:rsid w:val="00FB3D89"/>
    <w:rsid w:val="00FB6342"/>
    <w:rsid w:val="00FB6349"/>
    <w:rsid w:val="00FC3FE6"/>
    <w:rsid w:val="00FC4FC9"/>
    <w:rsid w:val="00FD0594"/>
    <w:rsid w:val="00FD51D4"/>
    <w:rsid w:val="00FE12D1"/>
    <w:rsid w:val="00FE6E83"/>
    <w:rsid w:val="0256755B"/>
    <w:rsid w:val="037F4F95"/>
    <w:rsid w:val="03BB284D"/>
    <w:rsid w:val="03D240DB"/>
    <w:rsid w:val="05942DC7"/>
    <w:rsid w:val="059D3D23"/>
    <w:rsid w:val="06C371BC"/>
    <w:rsid w:val="07B0512D"/>
    <w:rsid w:val="07D845B3"/>
    <w:rsid w:val="08FA4F3B"/>
    <w:rsid w:val="090F66A4"/>
    <w:rsid w:val="09903C9B"/>
    <w:rsid w:val="09A411B0"/>
    <w:rsid w:val="0B403838"/>
    <w:rsid w:val="11683117"/>
    <w:rsid w:val="137B05E0"/>
    <w:rsid w:val="14DD779C"/>
    <w:rsid w:val="17151B6E"/>
    <w:rsid w:val="17991557"/>
    <w:rsid w:val="18363935"/>
    <w:rsid w:val="190453FF"/>
    <w:rsid w:val="19F2274A"/>
    <w:rsid w:val="1A951111"/>
    <w:rsid w:val="1B5C78DF"/>
    <w:rsid w:val="1C491729"/>
    <w:rsid w:val="1F062EE4"/>
    <w:rsid w:val="1F524074"/>
    <w:rsid w:val="1F9D73C2"/>
    <w:rsid w:val="20092F31"/>
    <w:rsid w:val="20356752"/>
    <w:rsid w:val="204748C7"/>
    <w:rsid w:val="224E4D29"/>
    <w:rsid w:val="23F5677C"/>
    <w:rsid w:val="25492716"/>
    <w:rsid w:val="27092321"/>
    <w:rsid w:val="28595798"/>
    <w:rsid w:val="2A8226EF"/>
    <w:rsid w:val="2B311581"/>
    <w:rsid w:val="2CA84023"/>
    <w:rsid w:val="2D0917FD"/>
    <w:rsid w:val="2ED667BA"/>
    <w:rsid w:val="302E4847"/>
    <w:rsid w:val="317B00F1"/>
    <w:rsid w:val="34715FC4"/>
    <w:rsid w:val="35683252"/>
    <w:rsid w:val="36D31CB5"/>
    <w:rsid w:val="37422401"/>
    <w:rsid w:val="37762C28"/>
    <w:rsid w:val="393F2F9D"/>
    <w:rsid w:val="39EB0881"/>
    <w:rsid w:val="3A7E7074"/>
    <w:rsid w:val="3ADF0D1D"/>
    <w:rsid w:val="3B494C99"/>
    <w:rsid w:val="3BBA5ACC"/>
    <w:rsid w:val="3D0A7925"/>
    <w:rsid w:val="3E856538"/>
    <w:rsid w:val="3EFA36CB"/>
    <w:rsid w:val="3F037C9B"/>
    <w:rsid w:val="3FB4591A"/>
    <w:rsid w:val="43375270"/>
    <w:rsid w:val="4359669F"/>
    <w:rsid w:val="43815DF2"/>
    <w:rsid w:val="43EB6D51"/>
    <w:rsid w:val="46836180"/>
    <w:rsid w:val="47A520E4"/>
    <w:rsid w:val="48735D3E"/>
    <w:rsid w:val="4A4F6779"/>
    <w:rsid w:val="4A5676C5"/>
    <w:rsid w:val="4A603F56"/>
    <w:rsid w:val="4B0D7A4A"/>
    <w:rsid w:val="4C942380"/>
    <w:rsid w:val="4D6D0CDA"/>
    <w:rsid w:val="4E220279"/>
    <w:rsid w:val="4E275B54"/>
    <w:rsid w:val="4EBD34A9"/>
    <w:rsid w:val="4F411929"/>
    <w:rsid w:val="4F5D26B2"/>
    <w:rsid w:val="4FB7215F"/>
    <w:rsid w:val="50D92DFE"/>
    <w:rsid w:val="51843EA9"/>
    <w:rsid w:val="524F66E3"/>
    <w:rsid w:val="545B0570"/>
    <w:rsid w:val="56526586"/>
    <w:rsid w:val="5B607F42"/>
    <w:rsid w:val="5D287E13"/>
    <w:rsid w:val="5D570E07"/>
    <w:rsid w:val="5E142C7F"/>
    <w:rsid w:val="5F8724F7"/>
    <w:rsid w:val="609A1E8E"/>
    <w:rsid w:val="611E3AA4"/>
    <w:rsid w:val="61C14CCE"/>
    <w:rsid w:val="61E8262A"/>
    <w:rsid w:val="64240A8E"/>
    <w:rsid w:val="64920CB3"/>
    <w:rsid w:val="65326CBA"/>
    <w:rsid w:val="66A37327"/>
    <w:rsid w:val="67205A98"/>
    <w:rsid w:val="683D6F99"/>
    <w:rsid w:val="690523AC"/>
    <w:rsid w:val="69183C44"/>
    <w:rsid w:val="69335351"/>
    <w:rsid w:val="694D4C0E"/>
    <w:rsid w:val="69AB78BC"/>
    <w:rsid w:val="69E6741F"/>
    <w:rsid w:val="6A1E778F"/>
    <w:rsid w:val="6A807FDD"/>
    <w:rsid w:val="6BD10B13"/>
    <w:rsid w:val="6CD9677C"/>
    <w:rsid w:val="6E177785"/>
    <w:rsid w:val="6ED55F52"/>
    <w:rsid w:val="6F0D6EBA"/>
    <w:rsid w:val="71B252F2"/>
    <w:rsid w:val="7401021C"/>
    <w:rsid w:val="74D855AD"/>
    <w:rsid w:val="76A44373"/>
    <w:rsid w:val="775972A4"/>
    <w:rsid w:val="78B070CF"/>
    <w:rsid w:val="7CCB27F2"/>
    <w:rsid w:val="7CE42442"/>
    <w:rsid w:val="DDFFB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5"/>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6"/>
    <w:semiHidden/>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4"/>
    <w:qFormat/>
    <w:uiPriority w:val="99"/>
    <w:pPr>
      <w:tabs>
        <w:tab w:val="left" w:pos="567"/>
      </w:tabs>
      <w:spacing w:before="120" w:line="240" w:lineRule="exact"/>
    </w:pPr>
    <w:rPr>
      <w:sz w:val="24"/>
    </w:rPr>
  </w:style>
  <w:style w:type="paragraph" w:styleId="6">
    <w:name w:val="annotation text"/>
    <w:basedOn w:val="1"/>
    <w:link w:val="22"/>
    <w:qFormat/>
    <w:uiPriority w:val="0"/>
    <w:pPr>
      <w:jc w:val="left"/>
    </w:pPr>
  </w:style>
  <w:style w:type="paragraph" w:styleId="7">
    <w:name w:val="Balloon Text"/>
    <w:basedOn w:val="1"/>
    <w:link w:val="37"/>
    <w:semiHidden/>
    <w:unhideWhenUsed/>
    <w:qFormat/>
    <w:uiPriority w:val="99"/>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dot" w:pos="8296"/>
      </w:tabs>
      <w:jc w:val="center"/>
    </w:pPr>
    <w:rPr>
      <w:rFonts w:ascii="黑体" w:hAnsi="黑体" w:eastAsia="黑体"/>
      <w:bCs/>
      <w:color w:val="000000"/>
      <w:sz w:val="32"/>
      <w:szCs w:val="32"/>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12">
    <w:name w:val="annotation subject"/>
    <w:basedOn w:val="6"/>
    <w:next w:val="6"/>
    <w:link w:val="40"/>
    <w:semiHidden/>
    <w:unhideWhenUsed/>
    <w:qFormat/>
    <w:uiPriority w:val="99"/>
    <w:rPr>
      <w:b/>
      <w:bCs/>
    </w:rPr>
  </w:style>
  <w:style w:type="table" w:styleId="14">
    <w:name w:val="Table Grid"/>
    <w:basedOn w:val="1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6">
    <w:name w:val="Emphasis"/>
    <w:qFormat/>
    <w:uiPriority w:val="0"/>
    <w:rPr>
      <w:i/>
      <w:iCs/>
    </w:rPr>
  </w:style>
  <w:style w:type="character" w:styleId="17">
    <w:name w:val="Hyperlink"/>
    <w:qFormat/>
    <w:uiPriority w:val="99"/>
    <w:rPr>
      <w:color w:val="0000FF"/>
      <w:u w:val="single"/>
    </w:rPr>
  </w:style>
  <w:style w:type="character" w:styleId="18">
    <w:name w:val="annotation reference"/>
    <w:basedOn w:val="15"/>
    <w:semiHidden/>
    <w:unhideWhenUsed/>
    <w:qFormat/>
    <w:uiPriority w:val="99"/>
    <w:rPr>
      <w:sz w:val="21"/>
      <w:szCs w:val="21"/>
    </w:rPr>
  </w:style>
  <w:style w:type="character" w:customStyle="1" w:styleId="19">
    <w:name w:val="标题 1 字符"/>
    <w:link w:val="3"/>
    <w:qFormat/>
    <w:uiPriority w:val="0"/>
    <w:rPr>
      <w:rFonts w:ascii="Times New Roman" w:hAnsi="Times New Roman" w:eastAsia="宋体" w:cs="Times New Roman"/>
      <w:b/>
      <w:bCs/>
      <w:kern w:val="44"/>
      <w:sz w:val="44"/>
      <w:szCs w:val="44"/>
    </w:rPr>
  </w:style>
  <w:style w:type="character" w:customStyle="1" w:styleId="20">
    <w:name w:val="批注主题 Char"/>
    <w:link w:val="21"/>
    <w:semiHidden/>
    <w:qFormat/>
    <w:uiPriority w:val="99"/>
    <w:rPr>
      <w:rFonts w:ascii="Times New Roman" w:hAnsi="Times New Roman" w:eastAsia="宋体" w:cs="Times New Roman"/>
      <w:b/>
      <w:bCs/>
      <w:szCs w:val="24"/>
    </w:rPr>
  </w:style>
  <w:style w:type="paragraph" w:customStyle="1" w:styleId="21">
    <w:name w:val="批注主题1"/>
    <w:basedOn w:val="6"/>
    <w:next w:val="6"/>
    <w:link w:val="20"/>
    <w:qFormat/>
    <w:uiPriority w:val="0"/>
    <w:rPr>
      <w:b/>
      <w:bCs/>
    </w:rPr>
  </w:style>
  <w:style w:type="character" w:customStyle="1" w:styleId="22">
    <w:name w:val="批注文字 字符"/>
    <w:link w:val="6"/>
    <w:semiHidden/>
    <w:qFormat/>
    <w:uiPriority w:val="0"/>
    <w:rPr>
      <w:rFonts w:ascii="Times New Roman" w:hAnsi="Times New Roman" w:eastAsia="宋体" w:cs="Times New Roman"/>
      <w:szCs w:val="24"/>
    </w:rPr>
  </w:style>
  <w:style w:type="character" w:customStyle="1" w:styleId="23">
    <w:name w:val="页脚 字符"/>
    <w:link w:val="8"/>
    <w:qFormat/>
    <w:uiPriority w:val="99"/>
    <w:rPr>
      <w:sz w:val="18"/>
      <w:szCs w:val="18"/>
    </w:rPr>
  </w:style>
  <w:style w:type="character" w:customStyle="1" w:styleId="24">
    <w:name w:val="页眉 字符"/>
    <w:link w:val="9"/>
    <w:qFormat/>
    <w:uiPriority w:val="0"/>
    <w:rPr>
      <w:sz w:val="18"/>
      <w:szCs w:val="18"/>
    </w:rPr>
  </w:style>
  <w:style w:type="paragraph" w:customStyle="1" w:styleId="25">
    <w:name w:val="批注框文本 Char Char"/>
    <w:basedOn w:val="1"/>
    <w:link w:val="31"/>
    <w:qFormat/>
    <w:uiPriority w:val="0"/>
    <w:rPr>
      <w:sz w:val="18"/>
      <w:szCs w:val="18"/>
    </w:rPr>
  </w:style>
  <w:style w:type="paragraph" w:customStyle="1" w:styleId="26">
    <w:name w:val="列出段落1"/>
    <w:basedOn w:val="1"/>
    <w:qFormat/>
    <w:uiPriority w:val="0"/>
    <w:pPr>
      <w:ind w:firstLine="420" w:firstLineChars="200"/>
    </w:pPr>
  </w:style>
  <w:style w:type="paragraph" w:customStyle="1" w:styleId="27">
    <w:name w:val="其他发布部门"/>
    <w:basedOn w:val="1"/>
    <w:qFormat/>
    <w:uiPriority w:val="0"/>
    <w:pPr>
      <w:widowControl/>
      <w:spacing w:line="0" w:lineRule="atLeast"/>
      <w:jc w:val="center"/>
    </w:pPr>
    <w:rPr>
      <w:rFonts w:ascii="黑体" w:eastAsia="黑体"/>
      <w:spacing w:val="20"/>
      <w:w w:val="135"/>
      <w:kern w:val="0"/>
      <w:sz w:val="28"/>
      <w:szCs w:val="20"/>
    </w:rPr>
  </w:style>
  <w:style w:type="paragraph" w:customStyle="1" w:styleId="28">
    <w:name w:val="其他发布日期"/>
    <w:basedOn w:val="1"/>
    <w:qFormat/>
    <w:uiPriority w:val="0"/>
    <w:pPr>
      <w:widowControl/>
      <w:jc w:val="left"/>
    </w:pPr>
    <w:rPr>
      <w:rFonts w:eastAsia="黑体"/>
      <w:kern w:val="0"/>
      <w:sz w:val="28"/>
      <w:szCs w:val="20"/>
    </w:rPr>
  </w:style>
  <w:style w:type="paragraph" w:customStyle="1" w:styleId="29">
    <w:name w:val="其他实施日期"/>
    <w:basedOn w:val="1"/>
    <w:qFormat/>
    <w:uiPriority w:val="0"/>
    <w:pPr>
      <w:widowControl/>
      <w:jc w:val="right"/>
    </w:pPr>
    <w:rPr>
      <w:rFonts w:eastAsia="黑体"/>
      <w:kern w:val="0"/>
      <w:sz w:val="28"/>
      <w:szCs w:val="20"/>
    </w:rPr>
  </w:style>
  <w:style w:type="paragraph" w:customStyle="1" w:styleId="3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1">
    <w:name w:val="批注框文本 Char Char Char Char"/>
    <w:link w:val="25"/>
    <w:semiHidden/>
    <w:qFormat/>
    <w:uiPriority w:val="0"/>
    <w:rPr>
      <w:rFonts w:ascii="Times New Roman" w:hAnsi="Times New Roman" w:eastAsia="宋体" w:cs="Times New Roman"/>
      <w:sz w:val="18"/>
      <w:szCs w:val="18"/>
    </w:rPr>
  </w:style>
  <w:style w:type="character" w:customStyle="1" w:styleId="32">
    <w:name w:val="页码1"/>
    <w:basedOn w:val="15"/>
    <w:qFormat/>
    <w:uiPriority w:val="0"/>
  </w:style>
  <w:style w:type="character" w:customStyle="1" w:styleId="33">
    <w:name w:val="批注引用1"/>
    <w:qFormat/>
    <w:uiPriority w:val="0"/>
    <w:rPr>
      <w:sz w:val="21"/>
      <w:szCs w:val="21"/>
    </w:rPr>
  </w:style>
  <w:style w:type="character" w:customStyle="1" w:styleId="34">
    <w:name w:val="发布"/>
    <w:qFormat/>
    <w:uiPriority w:val="0"/>
    <w:rPr>
      <w:rFonts w:ascii="黑体" w:eastAsia="黑体"/>
      <w:spacing w:val="85"/>
      <w:w w:val="100"/>
      <w:position w:val="3"/>
      <w:sz w:val="28"/>
      <w:szCs w:val="28"/>
    </w:rPr>
  </w:style>
  <w:style w:type="character" w:customStyle="1" w:styleId="35">
    <w:name w:val="apple-converted-space"/>
    <w:basedOn w:val="15"/>
    <w:qFormat/>
    <w:uiPriority w:val="0"/>
  </w:style>
  <w:style w:type="character" w:customStyle="1" w:styleId="36">
    <w:name w:val="标题 3 字符"/>
    <w:link w:val="5"/>
    <w:semiHidden/>
    <w:qFormat/>
    <w:uiPriority w:val="9"/>
    <w:rPr>
      <w:b/>
      <w:bCs/>
      <w:kern w:val="2"/>
      <w:sz w:val="32"/>
      <w:szCs w:val="32"/>
    </w:rPr>
  </w:style>
  <w:style w:type="character" w:customStyle="1" w:styleId="37">
    <w:name w:val="批注框文本 字符"/>
    <w:basedOn w:val="15"/>
    <w:link w:val="7"/>
    <w:semiHidden/>
    <w:qFormat/>
    <w:uiPriority w:val="99"/>
    <w:rPr>
      <w:kern w:val="2"/>
      <w:sz w:val="18"/>
      <w:szCs w:val="18"/>
    </w:rPr>
  </w:style>
  <w:style w:type="paragraph" w:styleId="38">
    <w:name w:val="List Paragraph"/>
    <w:basedOn w:val="1"/>
    <w:qFormat/>
    <w:uiPriority w:val="99"/>
    <w:pPr>
      <w:ind w:firstLine="420" w:firstLineChars="200"/>
    </w:pPr>
  </w:style>
  <w:style w:type="table" w:customStyle="1" w:styleId="39">
    <w:name w:val="网格型1"/>
    <w:basedOn w:val="13"/>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40">
    <w:name w:val="批注主题 字符"/>
    <w:basedOn w:val="22"/>
    <w:link w:val="12"/>
    <w:semiHidden/>
    <w:qFormat/>
    <w:uiPriority w:val="99"/>
    <w:rPr>
      <w:rFonts w:ascii="Times New Roman" w:hAnsi="Times New Roman" w:eastAsia="宋体" w:cs="Times New Roman"/>
      <w:b/>
      <w:bCs/>
      <w:kern w:val="2"/>
      <w:sz w:val="21"/>
      <w:szCs w:val="24"/>
    </w:rPr>
  </w:style>
  <w:style w:type="paragraph" w:customStyle="1" w:styleId="41">
    <w:name w:val="修订1"/>
    <w:hidden/>
    <w:semiHidden/>
    <w:qFormat/>
    <w:uiPriority w:val="99"/>
    <w:rPr>
      <w:rFonts w:ascii="Times New Roman" w:hAnsi="Times New Roman" w:eastAsia="宋体" w:cs="Times New Roman"/>
      <w:kern w:val="2"/>
      <w:sz w:val="21"/>
      <w:szCs w:val="24"/>
      <w:lang w:val="en-US" w:eastAsia="zh-CN" w:bidi="ar-SA"/>
    </w:rPr>
  </w:style>
  <w:style w:type="table" w:customStyle="1" w:styleId="42">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43">
    <w:name w:val="Table Paragraph"/>
    <w:basedOn w:val="1"/>
    <w:qFormat/>
    <w:uiPriority w:val="1"/>
    <w:pPr>
      <w:autoSpaceDE w:val="0"/>
      <w:autoSpaceDN w:val="0"/>
      <w:jc w:val="left"/>
    </w:pPr>
    <w:rPr>
      <w:rFonts w:ascii="宋体" w:hAnsi="宋体" w:cs="宋体"/>
      <w:kern w:val="0"/>
      <w:sz w:val="22"/>
      <w:szCs w:val="22"/>
      <w:lang w:eastAsia="en-US" w:bidi="en-US"/>
    </w:rPr>
  </w:style>
  <w:style w:type="character" w:customStyle="1" w:styleId="44">
    <w:name w:val="正文文本 字符"/>
    <w:basedOn w:val="15"/>
    <w:link w:val="2"/>
    <w:qFormat/>
    <w:locked/>
    <w:uiPriority w:val="99"/>
    <w:rPr>
      <w:kern w:val="2"/>
      <w:sz w:val="24"/>
      <w:szCs w:val="24"/>
    </w:rPr>
  </w:style>
  <w:style w:type="character" w:customStyle="1" w:styleId="45">
    <w:name w:val="标题 2 字符"/>
    <w:basedOn w:val="15"/>
    <w:link w:val="4"/>
    <w:semiHidden/>
    <w:qFormat/>
    <w:uiPriority w:val="9"/>
    <w:rPr>
      <w:rFonts w:asciiTheme="majorHAnsi" w:hAnsiTheme="majorHAnsi" w:eastAsiaTheme="majorEastAsia" w:cstheme="majorBidi"/>
      <w:b/>
      <w:bCs/>
      <w:kern w:val="2"/>
      <w:sz w:val="32"/>
      <w:szCs w:val="32"/>
    </w:rPr>
  </w:style>
  <w:style w:type="paragraph" w:customStyle="1" w:styleId="46">
    <w:name w:val="Body text|1"/>
    <w:basedOn w:val="1"/>
    <w:qFormat/>
    <w:uiPriority w:val="0"/>
    <w:pPr>
      <w:spacing w:line="389" w:lineRule="auto"/>
      <w:ind w:firstLine="400"/>
    </w:pPr>
    <w:rPr>
      <w:rFonts w:ascii="宋体" w:hAnsi="宋体" w:cs="宋体"/>
      <w:sz w:val="26"/>
      <w:szCs w:val="26"/>
      <w:lang w:val="zh-TW" w:eastAsia="zh-TW" w:bidi="zh-TW"/>
    </w:rPr>
  </w:style>
  <w:style w:type="paragraph" w:customStyle="1" w:styleId="47">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CQC</Company>
  <Pages>10</Pages>
  <Words>763</Words>
  <Characters>4351</Characters>
  <Lines>36</Lines>
  <Paragraphs>10</Paragraphs>
  <TotalTime>1</TotalTime>
  <ScaleCrop>false</ScaleCrop>
  <LinksUpToDate>false</LinksUpToDate>
  <CharactersWithSpaces>5104</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2023-07-10T15:30:00Z</dcterms:created>
  <dc:creator>yangh</dc:creator>
  <cp:lastModifiedBy>杨书伟</cp:lastModifiedBy>
  <cp:lastPrinted>2023-08-02T10:19:00Z</cp:lastPrinted>
  <dcterms:modified xsi:type="dcterms:W3CDTF">2023-08-11T06:02:34Z</dcterms:modified>
  <dc:title>hangh</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528E6C4F5AB0408CAFE82F0C4652C7A7</vt:lpwstr>
  </property>
  <property fmtid="{D5CDD505-2E9C-101B-9397-08002B2CF9AE}" pid="4" name="KSOSaveFontToCloudKey">
    <vt:lpwstr>536860957_embed</vt:lpwstr>
  </property>
</Properties>
</file>