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Times New Roman" w:hAnsi="Times New Roman" w:eastAsia="华文仿宋"/>
          <w:b/>
          <w:bCs/>
          <w:sz w:val="32"/>
          <w:szCs w:val="32"/>
        </w:rPr>
      </w:pPr>
      <w:bookmarkStart w:id="0" w:name="_Hlk159931959"/>
    </w:p>
    <w:p>
      <w:pPr>
        <w:widowControl/>
        <w:jc w:val="left"/>
        <w:rPr>
          <w:rFonts w:ascii="Times New Roman" w:hAnsi="Times New Roman" w:eastAsia="华文仿宋"/>
          <w:b/>
          <w:bCs/>
          <w:sz w:val="32"/>
          <w:szCs w:val="32"/>
        </w:rPr>
      </w:pPr>
    </w:p>
    <w:p>
      <w:pPr>
        <w:jc w:val="right"/>
        <w:rPr>
          <w:rFonts w:hint="default" w:ascii="黑体" w:hAnsi="黑体" w:eastAsia="黑体" w:cs="黑体"/>
          <w:b w:val="0"/>
          <w:bCs w:val="0"/>
          <w:sz w:val="32"/>
          <w:szCs w:val="32"/>
          <w:lang w:val="en-US" w:eastAsia="zh-CN"/>
        </w:rPr>
      </w:pPr>
      <w:bookmarkStart w:id="1" w:name="_Hlk171241884"/>
      <w:r>
        <w:rPr>
          <w:rFonts w:hint="eastAsia" w:ascii="黑体" w:hAnsi="黑体" w:eastAsia="黑体" w:cs="黑体"/>
          <w:b w:val="0"/>
          <w:bCs w:val="0"/>
          <w:sz w:val="32"/>
          <w:szCs w:val="32"/>
        </w:rPr>
        <w:t>编号：</w:t>
      </w:r>
      <w:r>
        <w:rPr>
          <w:rFonts w:hint="eastAsia" w:ascii="黑体" w:hAnsi="黑体" w:eastAsia="黑体" w:cs="黑体"/>
          <w:sz w:val="32"/>
          <w:szCs w:val="32"/>
        </w:rPr>
        <w:t>CNCA-QMS-01:20</w:t>
      </w:r>
      <w:r>
        <w:rPr>
          <w:rFonts w:hint="eastAsia" w:ascii="黑体" w:hAnsi="黑体" w:eastAsia="黑体" w:cs="黑体"/>
          <w:sz w:val="32"/>
          <w:szCs w:val="32"/>
          <w:lang w:val="en-US" w:eastAsia="zh-CN"/>
        </w:rPr>
        <w:t>25</w:t>
      </w:r>
    </w:p>
    <w:p>
      <w:pPr>
        <w:jc w:val="center"/>
        <w:rPr>
          <w:rFonts w:ascii="Times New Roman" w:hAnsi="Times New Roman" w:eastAsia="华文仿宋"/>
          <w:b/>
          <w:bCs/>
          <w:sz w:val="32"/>
          <w:szCs w:val="32"/>
        </w:rPr>
      </w:pPr>
    </w:p>
    <w:p>
      <w:pPr>
        <w:jc w:val="center"/>
        <w:rPr>
          <w:rFonts w:ascii="Times New Roman" w:hAnsi="Times New Roman" w:eastAsia="华文仿宋"/>
          <w:b/>
          <w:bCs/>
          <w:sz w:val="32"/>
          <w:szCs w:val="32"/>
        </w:rPr>
      </w:pPr>
    </w:p>
    <w:p>
      <w:pPr>
        <w:jc w:val="center"/>
        <w:rPr>
          <w:rFonts w:ascii="Times New Roman" w:hAnsi="Times New Roman" w:eastAsia="华文仿宋"/>
          <w:b/>
          <w:bCs/>
          <w:sz w:val="32"/>
          <w:szCs w:val="32"/>
        </w:rPr>
      </w:pPr>
    </w:p>
    <w:p>
      <w:pPr>
        <w:ind w:firstLine="0" w:firstLineChars="0"/>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质量管理体系认证规则</w:t>
      </w: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jc w:val="center"/>
        <w:rPr>
          <w:rFonts w:ascii="Times New Roman" w:hAnsi="Times New Roman" w:eastAsia="华文中宋"/>
          <w:b/>
          <w:bCs/>
          <w:sz w:val="44"/>
          <w:szCs w:val="44"/>
        </w:rPr>
      </w:pPr>
    </w:p>
    <w:p>
      <w:pPr>
        <w:ind w:firstLine="0" w:firstLineChars="0"/>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mc:AlternateContent>
          <mc:Choice Requires="wps">
            <w:drawing>
              <wp:anchor distT="0" distB="0" distL="114300" distR="114300" simplePos="0" relativeHeight="251659264" behindDoc="0" locked="0" layoutInCell="1" allowOverlap="1">
                <wp:simplePos x="0" y="0"/>
                <wp:positionH relativeFrom="column">
                  <wp:posOffset>189865</wp:posOffset>
                </wp:positionH>
                <wp:positionV relativeFrom="paragraph">
                  <wp:posOffset>347345</wp:posOffset>
                </wp:positionV>
                <wp:extent cx="5355590" cy="14605"/>
                <wp:effectExtent l="0" t="0" r="0" b="0"/>
                <wp:wrapNone/>
                <wp:docPr id="1137448565" name="直接连接符 15"/>
                <wp:cNvGraphicFramePr/>
                <a:graphic xmlns:a="http://schemas.openxmlformats.org/drawingml/2006/main">
                  <a:graphicData uri="http://schemas.microsoft.com/office/word/2010/wordprocessingShape">
                    <wps:wsp>
                      <wps:cNvCnPr/>
                      <wps:spPr>
                        <a:xfrm flipV="1">
                          <a:off x="0" y="0"/>
                          <a:ext cx="5355590" cy="14605"/>
                        </a:xfrm>
                        <a:prstGeom prst="line">
                          <a:avLst/>
                        </a:prstGeom>
                        <a:noFill/>
                        <a:ln w="12700" cap="flat" cmpd="sng" algn="ctr">
                          <a:solidFill>
                            <a:srgbClr val="000000"/>
                          </a:solidFill>
                          <a:prstDash val="solid"/>
                          <a:miter lim="800000"/>
                        </a:ln>
                        <a:effectLst/>
                      </wps:spPr>
                      <wps:bodyPr/>
                    </wps:wsp>
                  </a:graphicData>
                </a:graphic>
              </wp:anchor>
            </w:drawing>
          </mc:Choice>
          <mc:Fallback>
            <w:pict>
              <v:line id="直接连接符 15" o:spid="_x0000_s1026" o:spt="20" style="position:absolute;left:0pt;flip:y;margin-left:14.95pt;margin-top:27.35pt;height:1.15pt;width:421.7pt;z-index:251659264;mso-width-relative:page;mso-height-relative:page;" filled="f" stroked="t" coordsize="21600,21600" o:gfxdata="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1tSNxtYAAAAIAQAADwAAAAAAAAABACAAAAAiAAAAZHJzL2Rvd25yZXYu&#10;eG1sUEsBAhQAFAAAAAgAh07iQOWxGLn9AQAA2AMAAA4AAAAAAAAAAQAgAAAAJQEAAGRycy9lMm9E&#10;b2MueG1sUEsFBgAAAAAGAAYAWQEAAJQFAAAAAA==&#10;">
                <v:fill on="f" focussize="0,0"/>
                <v:stroke weight="1pt" color="#000000" miterlimit="8" joinstyle="miter"/>
                <v:imagedata o:title=""/>
                <o:lock v:ext="edit" aspectratio="f"/>
              </v:line>
            </w:pict>
          </mc:Fallback>
        </mc:AlternateContent>
      </w:r>
      <w:r>
        <w:rPr>
          <w:rFonts w:hint="eastAsia" w:ascii="黑体" w:hAnsi="黑体" w:eastAsia="黑体" w:cs="黑体"/>
          <w:b w:val="0"/>
          <w:bCs w:val="0"/>
          <w:sz w:val="28"/>
          <w:szCs w:val="28"/>
        </w:rPr>
        <w:t>20</w:t>
      </w:r>
      <w:r>
        <w:rPr>
          <w:rFonts w:hint="eastAsia" w:ascii="黑体" w:hAnsi="黑体" w:eastAsia="黑体" w:cs="黑体"/>
          <w:b w:val="0"/>
          <w:bCs w:val="0"/>
          <w:sz w:val="28"/>
          <w:szCs w:val="28"/>
          <w:lang w:val="en-US" w:eastAsia="zh-CN"/>
        </w:rPr>
        <w:t>25</w:t>
      </w:r>
      <w:r>
        <w:rPr>
          <w:rFonts w:hint="eastAsia" w:ascii="黑体" w:hAnsi="黑体" w:eastAsia="黑体" w:cs="黑体"/>
          <w:b w:val="0"/>
          <w:bCs w:val="0"/>
          <w:sz w:val="28"/>
          <w:szCs w:val="28"/>
        </w:rPr>
        <w:t>-</w:t>
      </w:r>
      <w:r>
        <w:rPr>
          <w:rFonts w:hint="eastAsia" w:ascii="黑体" w:hAnsi="黑体" w:eastAsia="黑体" w:cs="黑体"/>
          <w:b w:val="0"/>
          <w:bCs w:val="0"/>
          <w:sz w:val="28"/>
          <w:szCs w:val="28"/>
          <w:lang w:val="en-US" w:eastAsia="zh-CN"/>
        </w:rPr>
        <w:t>08</w:t>
      </w:r>
      <w:r>
        <w:rPr>
          <w:rFonts w:hint="eastAsia" w:ascii="黑体" w:hAnsi="黑体" w:eastAsia="黑体" w:cs="黑体"/>
          <w:b w:val="0"/>
          <w:bCs w:val="0"/>
          <w:sz w:val="28"/>
          <w:szCs w:val="28"/>
        </w:rPr>
        <w:t>-</w:t>
      </w:r>
      <w:r>
        <w:rPr>
          <w:rFonts w:hint="eastAsia" w:ascii="黑体" w:hAnsi="黑体" w:eastAsia="黑体" w:cs="黑体"/>
          <w:b w:val="0"/>
          <w:bCs w:val="0"/>
          <w:sz w:val="28"/>
          <w:szCs w:val="28"/>
          <w:lang w:val="en-US" w:eastAsia="zh-CN"/>
        </w:rPr>
        <w:t>31</w:t>
      </w:r>
      <w:r>
        <w:rPr>
          <w:rFonts w:hint="eastAsia" w:ascii="黑体" w:hAnsi="黑体" w:eastAsia="黑体" w:cs="黑体"/>
          <w:b w:val="0"/>
          <w:bCs w:val="0"/>
          <w:sz w:val="28"/>
          <w:szCs w:val="28"/>
        </w:rPr>
        <w:t>发布                      20</w:t>
      </w:r>
      <w:r>
        <w:rPr>
          <w:rFonts w:hint="eastAsia" w:ascii="黑体" w:hAnsi="黑体" w:eastAsia="黑体" w:cs="黑体"/>
          <w:b w:val="0"/>
          <w:bCs w:val="0"/>
          <w:sz w:val="28"/>
          <w:szCs w:val="28"/>
          <w:lang w:val="en-US" w:eastAsia="zh-CN"/>
        </w:rPr>
        <w:t>26</w:t>
      </w:r>
      <w:r>
        <w:rPr>
          <w:rFonts w:hint="eastAsia" w:ascii="黑体" w:hAnsi="黑体" w:eastAsia="黑体" w:cs="黑体"/>
          <w:b w:val="0"/>
          <w:bCs w:val="0"/>
          <w:sz w:val="28"/>
          <w:szCs w:val="28"/>
        </w:rPr>
        <w:t>-</w:t>
      </w:r>
      <w:r>
        <w:rPr>
          <w:rFonts w:hint="eastAsia" w:ascii="黑体" w:hAnsi="黑体" w:eastAsia="黑体" w:cs="黑体"/>
          <w:b w:val="0"/>
          <w:bCs w:val="0"/>
          <w:sz w:val="28"/>
          <w:szCs w:val="28"/>
          <w:lang w:val="en-US" w:eastAsia="zh-CN"/>
        </w:rPr>
        <w:t>01</w:t>
      </w:r>
      <w:r>
        <w:rPr>
          <w:rFonts w:hint="eastAsia" w:ascii="黑体" w:hAnsi="黑体" w:eastAsia="黑体" w:cs="黑体"/>
          <w:b w:val="0"/>
          <w:bCs w:val="0"/>
          <w:sz w:val="28"/>
          <w:szCs w:val="28"/>
        </w:rPr>
        <w:t>-</w:t>
      </w:r>
      <w:r>
        <w:rPr>
          <w:rFonts w:hint="eastAsia" w:ascii="黑体" w:hAnsi="黑体" w:eastAsia="黑体" w:cs="黑体"/>
          <w:b w:val="0"/>
          <w:bCs w:val="0"/>
          <w:sz w:val="28"/>
          <w:szCs w:val="28"/>
          <w:lang w:val="en-US" w:eastAsia="zh-CN"/>
        </w:rPr>
        <w:t>01</w:t>
      </w:r>
      <w:r>
        <w:rPr>
          <w:rFonts w:hint="eastAsia" w:ascii="黑体" w:hAnsi="黑体" w:eastAsia="黑体" w:cs="黑体"/>
          <w:b w:val="0"/>
          <w:bCs w:val="0"/>
          <w:sz w:val="28"/>
          <w:szCs w:val="28"/>
        </w:rPr>
        <w:t>实施</w:t>
      </w:r>
    </w:p>
    <w:p>
      <w:pPr>
        <w:ind w:firstLine="0" w:firstLineChars="0"/>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w:t>国家认证认可监督管理委员会发布</w:t>
      </w:r>
      <w:bookmarkEnd w:id="1"/>
    </w:p>
    <w:p>
      <w:pPr>
        <w:adjustRightInd w:val="0"/>
        <w:spacing w:line="480" w:lineRule="exact"/>
        <w:ind w:left="0" w:leftChars="0" w:firstLine="0" w:firstLineChars="0"/>
        <w:jc w:val="center"/>
        <w:rPr>
          <w:rFonts w:ascii="Times New Roman" w:hAnsi="Times New Roman" w:eastAsia="黑体"/>
          <w:sz w:val="44"/>
          <w:szCs w:val="44"/>
        </w:rPr>
      </w:pPr>
    </w:p>
    <w:p>
      <w:pPr>
        <w:adjustRightInd w:val="0"/>
        <w:spacing w:line="480" w:lineRule="exact"/>
        <w:ind w:left="0" w:leftChars="0" w:firstLine="0" w:firstLineChars="0"/>
        <w:jc w:val="center"/>
        <w:rPr>
          <w:rFonts w:ascii="Times New Roman" w:hAnsi="Times New Roman" w:eastAsia="黑体"/>
          <w:sz w:val="44"/>
          <w:szCs w:val="44"/>
        </w:rPr>
      </w:pPr>
      <w:r>
        <w:rPr>
          <w:rFonts w:ascii="Times New Roman" w:hAnsi="Times New Roman" w:eastAsia="黑体"/>
          <w:sz w:val="44"/>
          <w:szCs w:val="44"/>
        </w:rPr>
        <w:t>目  录</w:t>
      </w:r>
    </w:p>
    <w:p>
      <w:pPr>
        <w:adjustRightInd w:val="0"/>
        <w:spacing w:line="480" w:lineRule="exact"/>
        <w:jc w:val="center"/>
        <w:rPr>
          <w:rFonts w:ascii="Times New Roman" w:hAnsi="Times New Roman" w:eastAsia="黑体"/>
          <w:sz w:val="32"/>
          <w:szCs w:val="32"/>
        </w:rPr>
      </w:pP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rPr>
        <w:fldChar w:fldCharType="begin"/>
      </w:r>
      <w:r>
        <w:rPr>
          <w:rFonts w:hint="eastAsia" w:ascii="仿宋_GB2312" w:hAnsi="仿宋_GB2312" w:eastAsia="仿宋_GB2312" w:cs="仿宋_GB2312"/>
          <w:sz w:val="30"/>
          <w:szCs w:val="30"/>
        </w:rPr>
        <w:instrText xml:space="preserve">TOC \o "1-2" \h \u </w:instrText>
      </w:r>
      <w:r>
        <w:rPr>
          <w:rFonts w:hint="eastAsia" w:ascii="仿宋_GB2312" w:hAnsi="仿宋_GB2312" w:eastAsia="仿宋_GB2312" w:cs="仿宋_GB2312"/>
          <w:kern w:val="0"/>
          <w:sz w:val="30"/>
          <w:szCs w:val="30"/>
        </w:rPr>
        <w:fldChar w:fldCharType="separate"/>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_Toc2606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 适用范围</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_Toc2606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_Toc23140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 认证依据</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_Toc23140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_Toc30404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 对认证机构的基本要求</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_Toc30404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_Toc24076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4 对认证人员的基本要求</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_Toc24076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_Toc2217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 认证程序</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_Toc2217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_Toc26216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5.1 认证申请</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_Toc26216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_Toc30615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5.2 申请评审</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_Toc30615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_Toc15160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5.3 认证合同</w:t>
      </w:r>
      <w:r>
        <w:rPr>
          <w:rFonts w:hint="eastAsia" w:ascii="仿宋_GB2312" w:hAnsi="仿宋_GB2312" w:eastAsia="仿宋_GB2312" w:cs="仿宋_GB2312"/>
          <w:sz w:val="30"/>
          <w:szCs w:val="30"/>
          <w:lang w:val="en-US" w:eastAsia="zh-CN"/>
        </w:rPr>
        <w:t>及相关责任</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_Toc15160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8</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_Toc26486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5.4 审核方案和审核策划</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_Toc26486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10</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_Toc10057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5.5 实施审核</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_Toc10057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14</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_Toc23647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5.6 初次认证</w:t>
      </w:r>
      <w:r>
        <w:rPr>
          <w:rFonts w:hint="eastAsia" w:ascii="仿宋_GB2312" w:hAnsi="仿宋_GB2312" w:eastAsia="仿宋_GB2312" w:cs="仿宋_GB2312"/>
          <w:bCs w:val="0"/>
          <w:sz w:val="30"/>
          <w:szCs w:val="30"/>
          <w:lang w:val="en-US" w:eastAsia="zh-CN"/>
        </w:rPr>
        <w:t>审核</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_Toc23647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15</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_Toc22751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5.7 监督审核</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_Toc22751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18</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_Toc25548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5.8 再认证</w:t>
      </w:r>
      <w:r>
        <w:rPr>
          <w:rFonts w:hint="eastAsia" w:ascii="仿宋_GB2312" w:hAnsi="仿宋_GB2312" w:eastAsia="仿宋_GB2312" w:cs="仿宋_GB2312"/>
          <w:sz w:val="30"/>
          <w:szCs w:val="30"/>
          <w:lang w:val="en-US" w:eastAsia="zh-CN"/>
        </w:rPr>
        <w:t>审核</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_Toc25548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_Toc1711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5.9 特殊审核</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_Toc1711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_Toc17460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5.10 不符合项及其验证</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_Toc17460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_Toc1412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5.11 审核报告</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_Toc1412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1"/>
        <w:tabs>
          <w:tab w:val="right" w:leader="dot" w:pos="8958"/>
        </w:tabs>
        <w:spacing w:line="420" w:lineRule="exact"/>
        <w:ind w:left="0" w:leftChars="0" w:firstLine="318" w:firstLineChars="10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_Toc20137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5.12 认证决定</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_Toc20137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23</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_Toc7152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6 认证证书和认证标志</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_Toc7152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24</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_Toc22064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7 认证</w:t>
      </w:r>
      <w:r>
        <w:rPr>
          <w:rFonts w:hint="eastAsia" w:ascii="仿宋_GB2312" w:hAnsi="仿宋_GB2312" w:eastAsia="仿宋_GB2312" w:cs="仿宋_GB2312"/>
          <w:sz w:val="30"/>
          <w:szCs w:val="30"/>
          <w:lang w:eastAsia="zh-CN"/>
        </w:rPr>
        <w:t>证书</w:t>
      </w:r>
      <w:r>
        <w:rPr>
          <w:rFonts w:hint="eastAsia" w:ascii="仿宋_GB2312" w:hAnsi="仿宋_GB2312" w:eastAsia="仿宋_GB2312" w:cs="仿宋_GB2312"/>
          <w:sz w:val="30"/>
          <w:szCs w:val="30"/>
        </w:rPr>
        <w:t>的暂停、撤销和注销</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_Toc22064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27</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_Toc28740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8 申诉（投诉）处理</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_Toc28740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_Toc13278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9 信息公开与报告</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_Toc13278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30</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_Toc23488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10 认证记录</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_Toc23488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_Toc7418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11 其他</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_Toc7418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32</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_Toc25858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12 附则</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_Toc25858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34</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附录A </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_Toc26827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质量管理体系认证业务范围分类</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_Toc32644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和风险类型示例</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_Toc32644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36</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附录B </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_Toc14086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质量管理体系认证审核时间要求</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_Toc14086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958"/>
        </w:tabs>
        <w:spacing w:line="42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附录C </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_Toc11016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QMS认证证书编号规则</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_Toc11016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41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pPr>
        <w:pStyle w:val="10"/>
        <w:tabs>
          <w:tab w:val="right" w:leader="dot" w:pos="8296"/>
        </w:tabs>
        <w:spacing w:line="420" w:lineRule="exact"/>
        <w:ind w:firstLine="0" w:firstLineChars="0"/>
        <w:rPr>
          <w:rFonts w:hint="eastAsia" w:ascii="仿宋_GB2312" w:hAnsi="仿宋_GB2312" w:eastAsia="仿宋_GB2312" w:cs="仿宋_GB2312"/>
          <w:sz w:val="30"/>
          <w:szCs w:val="30"/>
        </w:rPr>
        <w:sectPr>
          <w:footerReference r:id="rId5" w:type="default"/>
          <w:pgSz w:w="11906" w:h="16838"/>
          <w:pgMar w:top="1984" w:right="1474" w:bottom="1644" w:left="1474" w:header="851" w:footer="352" w:gutter="0"/>
          <w:cols w:space="720" w:num="1"/>
          <w:docGrid w:type="lines" w:linePitch="312" w:charSpace="0"/>
        </w:sectPr>
      </w:pPr>
      <w:r>
        <w:rPr>
          <w:rFonts w:hint="eastAsia" w:ascii="仿宋_GB2312" w:hAnsi="仿宋_GB2312" w:eastAsia="仿宋_GB2312" w:cs="仿宋_GB2312"/>
          <w:sz w:val="30"/>
          <w:szCs w:val="30"/>
        </w:rPr>
        <w:fldChar w:fldCharType="end"/>
      </w:r>
    </w:p>
    <w:p>
      <w:pPr>
        <w:autoSpaceDE w:val="0"/>
        <w:autoSpaceDN w:val="0"/>
        <w:adjustRightInd w:val="0"/>
        <w:snapToGrid w:val="0"/>
        <w:spacing w:line="480" w:lineRule="exact"/>
        <w:ind w:left="0" w:leftChars="0" w:firstLine="0" w:firstLineChars="0"/>
        <w:jc w:val="center"/>
        <w:rPr>
          <w:rFonts w:ascii="Times New Roman" w:hAnsi="Times New Roman" w:eastAsia="方正小标宋简体"/>
          <w:sz w:val="44"/>
          <w:szCs w:val="44"/>
        </w:rPr>
      </w:pPr>
      <w:r>
        <w:rPr>
          <w:rFonts w:ascii="Times New Roman" w:hAnsi="Times New Roman" w:eastAsia="方正小标宋简体"/>
          <w:sz w:val="44"/>
          <w:szCs w:val="44"/>
        </w:rPr>
        <w:t>质量管理体系认证规则</w:t>
      </w:r>
    </w:p>
    <w:p>
      <w:pPr>
        <w:autoSpaceDE w:val="0"/>
        <w:autoSpaceDN w:val="0"/>
        <w:adjustRightInd w:val="0"/>
        <w:snapToGrid w:val="0"/>
        <w:spacing w:line="480" w:lineRule="exact"/>
        <w:jc w:val="center"/>
        <w:rPr>
          <w:rFonts w:ascii="Times New Roman" w:hAnsi="Times New Roman" w:eastAsia="方正小标宋简体"/>
          <w:sz w:val="44"/>
          <w:szCs w:val="44"/>
        </w:rPr>
      </w:pPr>
    </w:p>
    <w:p>
      <w:pPr>
        <w:pStyle w:val="47"/>
        <w:autoSpaceDE w:val="0"/>
        <w:autoSpaceDN w:val="0"/>
        <w:adjustRightInd w:val="0"/>
        <w:snapToGrid w:val="0"/>
        <w:ind w:firstLine="624" w:firstLineChars="0"/>
        <w:outlineLvl w:val="0"/>
      </w:pPr>
      <w:bookmarkStart w:id="2" w:name="_Toc16896"/>
      <w:bookmarkStart w:id="3" w:name="_Toc171603612"/>
      <w:bookmarkStart w:id="4" w:name="_Toc9059"/>
      <w:bookmarkStart w:id="5" w:name="_Toc10831"/>
      <w:bookmarkStart w:id="6" w:name="_Toc2606"/>
      <w:r>
        <w:t xml:space="preserve"> 适用范围</w:t>
      </w:r>
      <w:bookmarkEnd w:id="2"/>
      <w:bookmarkEnd w:id="3"/>
      <w:bookmarkEnd w:id="4"/>
      <w:bookmarkEnd w:id="5"/>
      <w:bookmarkEnd w:id="6"/>
    </w:p>
    <w:p>
      <w:pPr>
        <w:numPr>
          <w:ilvl w:val="-1"/>
          <w:numId w:val="0"/>
        </w:numPr>
        <w:autoSpaceDE/>
        <w:autoSpaceDN/>
        <w:adjustRightInd/>
        <w:snapToGrid/>
        <w:spacing w:line="240" w:lineRule="auto"/>
        <w:ind w:firstLine="640" w:firstLineChars="200"/>
        <w:rPr>
          <w:rFonts w:hint="eastAsia" w:ascii="仿宋_GB2312" w:hAnsi="仿宋_GB2312" w:eastAsia="仿宋_GB2312"/>
          <w:sz w:val="32"/>
          <w:szCs w:val="32"/>
        </w:rPr>
      </w:pPr>
      <w:bookmarkStart w:id="7" w:name="_Hlk159932000"/>
      <w:r>
        <w:rPr>
          <w:rFonts w:hint="eastAsia"/>
          <w:lang w:val="en-US" w:eastAsia="zh-CN"/>
        </w:rPr>
        <w:t>1</w:t>
      </w:r>
      <w:r>
        <w:rPr>
          <w:rFonts w:hint="eastAsia"/>
        </w:rPr>
        <w:t>.1</w:t>
      </w:r>
      <w:r>
        <w:rPr>
          <w:rFonts w:hint="eastAsia"/>
          <w:lang w:val="en-US" w:eastAsia="zh-CN"/>
        </w:rPr>
        <w:t xml:space="preserve"> </w:t>
      </w:r>
      <w:r>
        <w:rPr>
          <w:rFonts w:hint="eastAsia" w:ascii="仿宋_GB2312" w:hAnsi="仿宋_GB2312" w:eastAsia="仿宋_GB2312"/>
          <w:sz w:val="32"/>
          <w:szCs w:val="32"/>
        </w:rPr>
        <w:t>为规范质量管理体系（以下简称QMS）认证</w:t>
      </w:r>
      <w:r>
        <w:rPr>
          <w:rFonts w:hint="default" w:ascii="仿宋_GB2312" w:hAnsi="仿宋_GB2312" w:eastAsia="仿宋_GB2312"/>
          <w:sz w:val="32"/>
          <w:szCs w:val="32"/>
          <w:lang w:val="en-US" w:eastAsia="zh-CN"/>
        </w:rPr>
        <w:t>活动</w:t>
      </w:r>
      <w:r>
        <w:rPr>
          <w:rFonts w:hint="eastAsia" w:ascii="仿宋_GB2312" w:hAnsi="仿宋_GB2312" w:eastAsia="仿宋_GB2312"/>
          <w:sz w:val="32"/>
          <w:szCs w:val="32"/>
        </w:rPr>
        <w:t>，根据《中华人民共和国认证认可条例》和《认证机构管理办法》等法律法规，结合相关技术标准制定本规则。</w:t>
      </w:r>
    </w:p>
    <w:p>
      <w:pPr>
        <w:numPr>
          <w:ilvl w:val="-1"/>
          <w:numId w:val="0"/>
        </w:num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lang w:val="en-US" w:eastAsia="zh-CN"/>
        </w:rPr>
        <w:t>1</w:t>
      </w:r>
      <w:r>
        <w:rPr>
          <w:rFonts w:hint="default" w:ascii="仿宋_GB2312" w:hAnsi="仿宋_GB2312" w:eastAsia="仿宋_GB2312" w:cs="仿宋_GB2312"/>
          <w:sz w:val="32"/>
          <w:szCs w:val="32"/>
        </w:rPr>
        <w:t>.</w:t>
      </w:r>
      <w:r>
        <w:rPr>
          <w:rFonts w:hint="eastAsia"/>
          <w:lang w:eastAsia="zh-CN"/>
        </w:rPr>
        <w:t>2</w:t>
      </w:r>
      <w:r>
        <w:rPr>
          <w:rFonts w:hint="eastAsia"/>
          <w:lang w:val="en-US" w:eastAsia="zh-CN"/>
        </w:rPr>
        <w:t xml:space="preserve"> </w:t>
      </w:r>
      <w:r>
        <w:rPr>
          <w:rFonts w:hint="eastAsia" w:ascii="仿宋_GB2312" w:hAnsi="仿宋_GB2312" w:eastAsia="仿宋_GB2312"/>
          <w:sz w:val="32"/>
          <w:szCs w:val="32"/>
        </w:rPr>
        <w:t>本规则规定了认证机构实施QMS认证的程序与管理的基本要求，是认证机构从事QMS认证活动的基本依据。</w:t>
      </w:r>
    </w:p>
    <w:p>
      <w:pPr>
        <w:numPr>
          <w:ilvl w:val="-1"/>
          <w:numId w:val="0"/>
        </w:num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lang w:val="en-US" w:eastAsia="zh-CN"/>
        </w:rPr>
        <w:t xml:space="preserve">1.3 </w:t>
      </w:r>
      <w:r>
        <w:rPr>
          <w:rFonts w:hint="eastAsia" w:ascii="仿宋_GB2312" w:hAnsi="仿宋_GB2312" w:eastAsia="仿宋_GB2312"/>
          <w:sz w:val="32"/>
          <w:szCs w:val="32"/>
        </w:rPr>
        <w:t>在中华人民共和国境内从事QMS认证活动应遵守</w:t>
      </w:r>
      <w:r>
        <w:rPr>
          <w:rFonts w:hint="default" w:ascii="仿宋_GB2312" w:hAnsi="仿宋_GB2312" w:eastAsia="仿宋_GB2312"/>
          <w:sz w:val="32"/>
          <w:szCs w:val="32"/>
        </w:rPr>
        <w:t>《中华人民共和国认证认可条例》《认证机构管理办法》及</w:t>
      </w:r>
      <w:r>
        <w:rPr>
          <w:rFonts w:hint="eastAsia" w:ascii="仿宋_GB2312" w:hAnsi="仿宋_GB2312" w:eastAsia="仿宋_GB2312"/>
          <w:sz w:val="32"/>
          <w:szCs w:val="32"/>
        </w:rPr>
        <w:t>本规则。</w:t>
      </w:r>
    </w:p>
    <w:p>
      <w:pPr>
        <w:numPr>
          <w:ilvl w:val="-1"/>
          <w:numId w:val="0"/>
        </w:num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lang w:val="en-US" w:eastAsia="zh-CN"/>
        </w:rPr>
        <w:t xml:space="preserve">1.4 </w:t>
      </w:r>
      <w:r>
        <w:rPr>
          <w:rFonts w:hint="eastAsia" w:ascii="仿宋_GB2312" w:hAnsi="仿宋_GB2312" w:eastAsia="仿宋_GB2312"/>
          <w:sz w:val="32"/>
          <w:szCs w:val="32"/>
        </w:rPr>
        <w:t>认证机构遵守本规则的规定，并不意味着可免除其所承担的法律责任。</w:t>
      </w:r>
    </w:p>
    <w:bookmarkEnd w:id="7"/>
    <w:p>
      <w:pPr>
        <w:pStyle w:val="47"/>
        <w:autoSpaceDE w:val="0"/>
        <w:autoSpaceDN w:val="0"/>
        <w:adjustRightInd w:val="0"/>
        <w:snapToGrid w:val="0"/>
        <w:ind w:firstLine="624" w:firstLineChars="0"/>
        <w:outlineLvl w:val="0"/>
      </w:pPr>
      <w:bookmarkStart w:id="8" w:name="_Toc22897"/>
      <w:bookmarkStart w:id="9" w:name="_Toc23140"/>
      <w:bookmarkStart w:id="10" w:name="_Toc2391"/>
      <w:bookmarkStart w:id="11" w:name="_Toc171603613"/>
      <w:bookmarkStart w:id="12" w:name="_Toc23213"/>
      <w:r>
        <w:t xml:space="preserve"> 认证依据</w:t>
      </w:r>
      <w:bookmarkEnd w:id="8"/>
      <w:bookmarkEnd w:id="9"/>
      <w:bookmarkEnd w:id="10"/>
      <w:bookmarkEnd w:id="11"/>
      <w:bookmarkEnd w:id="12"/>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《质量管理体系 要求》（GB/T 19001）/《Quality management system</w:t>
      </w:r>
      <w:r>
        <w:rPr>
          <w:rFonts w:hint="eastAsia" w:ascii="仿宋_GB2312" w:hAnsi="仿宋_GB2312" w:eastAsia="仿宋_GB2312" w:cs="仿宋_GB2312"/>
          <w:sz w:val="36"/>
          <w:szCs w:val="44"/>
        </w:rPr>
        <w:t>—</w:t>
      </w:r>
      <w:r>
        <w:rPr>
          <w:rFonts w:hint="eastAsia" w:ascii="仿宋_GB2312" w:hAnsi="仿宋_GB2312" w:eastAsia="仿宋_GB2312"/>
          <w:sz w:val="32"/>
          <w:szCs w:val="32"/>
        </w:rPr>
        <w:t>Requirements》（ISO 9001）</w:t>
      </w:r>
    </w:p>
    <w:p>
      <w:pPr>
        <w:pStyle w:val="47"/>
        <w:autoSpaceDE w:val="0"/>
        <w:autoSpaceDN w:val="0"/>
        <w:adjustRightInd w:val="0"/>
        <w:snapToGrid w:val="0"/>
        <w:ind w:firstLine="624" w:firstLineChars="0"/>
        <w:outlineLvl w:val="0"/>
      </w:pPr>
      <w:bookmarkStart w:id="13" w:name="_Toc26409"/>
      <w:bookmarkStart w:id="14" w:name="_Toc171603614"/>
      <w:bookmarkStart w:id="15" w:name="_Toc30404"/>
      <w:bookmarkStart w:id="16" w:name="_Toc16851"/>
      <w:bookmarkStart w:id="17" w:name="_Toc12471"/>
      <w:r>
        <w:t xml:space="preserve"> 对认证机构的基本要求</w:t>
      </w:r>
      <w:bookmarkEnd w:id="13"/>
      <w:bookmarkEnd w:id="14"/>
      <w:bookmarkEnd w:id="15"/>
      <w:bookmarkEnd w:id="16"/>
      <w:bookmarkEnd w:id="17"/>
    </w:p>
    <w:p>
      <w:pPr>
        <w:spacing w:line="240" w:lineRule="auto"/>
        <w:ind w:firstLine="640" w:firstLineChars="200"/>
        <w:rPr>
          <w:rFonts w:hint="eastAsia" w:ascii="仿宋_GB2312" w:hAnsi="仿宋_GB2312" w:eastAsia="仿宋_GB2312"/>
          <w:strike w:val="0"/>
          <w:sz w:val="32"/>
          <w:szCs w:val="32"/>
        </w:rPr>
      </w:pPr>
      <w:r>
        <w:rPr>
          <w:rFonts w:hint="eastAsia" w:ascii="仿宋_GB2312" w:hAnsi="仿宋_GB2312" w:eastAsia="仿宋_GB2312"/>
          <w:sz w:val="32"/>
          <w:szCs w:val="32"/>
        </w:rPr>
        <w:t>3.1 获得</w:t>
      </w:r>
      <w:r>
        <w:rPr>
          <w:rFonts w:hint="default" w:ascii="仿宋_GB2312" w:hAnsi="仿宋_GB2312" w:eastAsia="仿宋_GB2312"/>
          <w:sz w:val="32"/>
          <w:szCs w:val="32"/>
        </w:rPr>
        <w:t>国家认证认可监督管理委员会</w:t>
      </w:r>
      <w:r>
        <w:rPr>
          <w:rFonts w:hint="default" w:ascii="仿宋_GB2312" w:hAnsi="仿宋_GB2312" w:eastAsia="仿宋_GB2312"/>
          <w:sz w:val="32"/>
          <w:szCs w:val="32"/>
          <w:lang w:eastAsia="zh-CN"/>
        </w:rPr>
        <w:t>（</w:t>
      </w:r>
      <w:r>
        <w:rPr>
          <w:rFonts w:hint="default" w:ascii="仿宋_GB2312" w:hAnsi="仿宋_GB2312" w:eastAsia="仿宋_GB2312"/>
          <w:sz w:val="32"/>
          <w:szCs w:val="32"/>
          <w:lang w:val="en-US" w:eastAsia="zh-CN"/>
        </w:rPr>
        <w:t>以下简称国家认监委</w:t>
      </w:r>
      <w:r>
        <w:rPr>
          <w:rFonts w:hint="default" w:ascii="仿宋_GB2312" w:hAnsi="仿宋_GB2312" w:eastAsia="仿宋_GB2312"/>
          <w:sz w:val="32"/>
          <w:szCs w:val="32"/>
          <w:lang w:eastAsia="zh-CN"/>
        </w:rPr>
        <w:t>）</w:t>
      </w:r>
      <w:r>
        <w:rPr>
          <w:rFonts w:hint="eastAsia" w:ascii="仿宋_GB2312" w:hAnsi="仿宋_GB2312" w:eastAsia="仿宋_GB2312"/>
          <w:sz w:val="32"/>
          <w:szCs w:val="32"/>
        </w:rPr>
        <w:t>批准、取得QMS认证</w:t>
      </w:r>
      <w:r>
        <w:rPr>
          <w:rFonts w:hint="eastAsia"/>
          <w:sz w:val="32"/>
          <w:szCs w:val="32"/>
          <w:lang w:val="en-US" w:eastAsia="zh-CN"/>
        </w:rPr>
        <w:t>领域</w:t>
      </w:r>
      <w:r>
        <w:rPr>
          <w:rFonts w:hint="eastAsia" w:ascii="仿宋_GB2312" w:hAnsi="仿宋_GB2312" w:eastAsia="仿宋_GB2312"/>
          <w:sz w:val="32"/>
          <w:szCs w:val="32"/>
        </w:rPr>
        <w:t>资质。</w:t>
      </w:r>
    </w:p>
    <w:p>
      <w:pPr>
        <w:autoSpaceDE/>
        <w:autoSpaceDN/>
        <w:adjustRightInd/>
        <w:snapToGrid/>
        <w:spacing w:line="240" w:lineRule="auto"/>
        <w:ind w:firstLine="640" w:firstLineChars="200"/>
        <w:rPr>
          <w:rFonts w:hint="eastAsia" w:ascii="仿宋_GB2312" w:hAnsi="仿宋_GB2312" w:eastAsia="仿宋_GB2312"/>
          <w:i w:val="0"/>
          <w:iCs w:val="0"/>
          <w:sz w:val="24"/>
          <w:szCs w:val="32"/>
        </w:rPr>
      </w:pPr>
      <w:r>
        <w:rPr>
          <w:rFonts w:hint="eastAsia" w:ascii="仿宋_GB2312" w:hAnsi="仿宋_GB2312" w:eastAsia="仿宋_GB2312"/>
          <w:sz w:val="32"/>
          <w:szCs w:val="32"/>
        </w:rPr>
        <w:t>3.2 开展QMS认证活动，应当围绕国家经济和社会发展目标，重点服务于经济社会高质量发展，不得影响国家安全和社会公共利益，不得违背社会公序良俗。</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3.3 内部管理和认证活动符合GB/T 27021.1/ISO/IEC 17021-1《</w:t>
      </w:r>
      <w:bookmarkStart w:id="18" w:name="OLE_LINK1"/>
      <w:r>
        <w:rPr>
          <w:rFonts w:hint="eastAsia" w:ascii="仿宋_GB2312" w:hAnsi="仿宋_GB2312" w:eastAsia="仿宋_GB2312"/>
          <w:sz w:val="32"/>
          <w:szCs w:val="32"/>
        </w:rPr>
        <w:t>合格评定 管理体系审核认证机构要求 第1部分：要求</w:t>
      </w:r>
      <w:bookmarkEnd w:id="18"/>
      <w:r>
        <w:rPr>
          <w:rFonts w:hint="eastAsia" w:ascii="仿宋_GB2312" w:hAnsi="仿宋_GB2312" w:eastAsia="仿宋_GB2312"/>
          <w:sz w:val="32"/>
          <w:szCs w:val="32"/>
        </w:rPr>
        <w:t>》和GB/T 27021.3/ISO/IEC 17021-3《合格评定 管理体系审核认证机构要求 第3部分：质量管理体系审核与认证能力要求》，确保持续满足开展QMS认证的基本要求。</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3.</w:t>
      </w:r>
      <w:r>
        <w:rPr>
          <w:rFonts w:hint="eastAsia"/>
          <w:sz w:val="32"/>
          <w:szCs w:val="32"/>
          <w:lang w:val="en-US" w:eastAsia="zh-CN"/>
        </w:rPr>
        <w:t>4</w:t>
      </w:r>
      <w:r>
        <w:rPr>
          <w:rFonts w:hint="default" w:ascii="仿宋_GB2312" w:hAnsi="仿宋_GB2312" w:eastAsia="仿宋_GB2312"/>
          <w:sz w:val="32"/>
          <w:szCs w:val="32"/>
        </w:rPr>
        <w:t xml:space="preserve"> </w:t>
      </w:r>
      <w:r>
        <w:rPr>
          <w:rFonts w:hint="eastAsia" w:ascii="仿宋_GB2312" w:hAnsi="仿宋_GB2312" w:eastAsia="仿宋_GB2312"/>
          <w:sz w:val="32"/>
          <w:szCs w:val="32"/>
        </w:rPr>
        <w:t>建立</w:t>
      </w:r>
      <w:r>
        <w:rPr>
          <w:rFonts w:hint="eastAsia" w:ascii="仿宋_GB2312" w:hAnsi="仿宋_GB2312" w:eastAsia="仿宋_GB2312"/>
          <w:spacing w:val="0"/>
          <w:sz w:val="32"/>
          <w:szCs w:val="32"/>
          <w:shd w:val="clear" w:color="auto" w:fill="auto"/>
        </w:rPr>
        <w:t>风险防范机制，对从事QMS认证活动可能引发的风险和责任采取合理有效措施。</w:t>
      </w:r>
      <w:r>
        <w:rPr>
          <w:rFonts w:hint="default" w:ascii="仿宋_GB2312" w:hAnsi="仿宋_GB2312" w:eastAsia="仿宋_GB2312"/>
          <w:spacing w:val="0"/>
          <w:sz w:val="32"/>
          <w:szCs w:val="32"/>
          <w:shd w:val="clear" w:color="auto" w:fill="auto"/>
        </w:rPr>
        <w:t>认证机构应能证明</w:t>
      </w:r>
      <w:r>
        <w:rPr>
          <w:rFonts w:hint="default"/>
          <w:lang w:val="en-US"/>
        </w:rPr>
        <w:t>其</w:t>
      </w:r>
      <w:r>
        <w:rPr>
          <w:rFonts w:hint="eastAsia" w:ascii="仿宋_GB2312" w:hAnsi="仿宋_GB2312" w:eastAsia="仿宋_GB2312"/>
          <w:spacing w:val="0"/>
          <w:sz w:val="32"/>
          <w:szCs w:val="32"/>
          <w:shd w:val="clear" w:color="auto" w:fill="auto"/>
        </w:rPr>
        <w:t>已对QMS认证活动引发的风险进行了评估，对引发的责任做出了充分安排（如保险或储备金）。</w:t>
      </w:r>
    </w:p>
    <w:p>
      <w:pPr>
        <w:autoSpaceDE/>
        <w:autoSpaceDN/>
        <w:adjustRightInd/>
        <w:snapToGrid/>
        <w:spacing w:line="240" w:lineRule="auto"/>
        <w:ind w:firstLine="640" w:firstLineChars="200"/>
        <w:rPr>
          <w:rFonts w:hint="eastAsia" w:ascii="仿宋_GB2312" w:hAnsi="仿宋_GB2312" w:eastAsia="仿宋_GB2312"/>
          <w:spacing w:val="0"/>
          <w:sz w:val="32"/>
          <w:szCs w:val="32"/>
          <w:shd w:val="clear" w:color="auto" w:fill="auto"/>
        </w:rPr>
      </w:pPr>
      <w:r>
        <w:rPr>
          <w:rFonts w:hint="eastAsia" w:ascii="仿宋_GB2312" w:hAnsi="仿宋_GB2312" w:eastAsia="仿宋_GB2312"/>
          <w:spacing w:val="0"/>
          <w:sz w:val="32"/>
          <w:szCs w:val="32"/>
          <w:shd w:val="clear" w:color="auto" w:fill="auto"/>
        </w:rPr>
        <w:t>3.</w:t>
      </w:r>
      <w:r>
        <w:rPr>
          <w:rFonts w:hint="eastAsia"/>
          <w:spacing w:val="0"/>
          <w:sz w:val="32"/>
          <w:szCs w:val="32"/>
          <w:shd w:val="clear" w:color="auto" w:fill="auto"/>
          <w:lang w:val="en-US" w:eastAsia="zh-CN"/>
        </w:rPr>
        <w:t>5</w:t>
      </w:r>
      <w:r>
        <w:rPr>
          <w:rFonts w:hint="eastAsia" w:ascii="仿宋_GB2312" w:hAnsi="仿宋_GB2312" w:eastAsia="仿宋_GB2312"/>
          <w:spacing w:val="0"/>
          <w:sz w:val="32"/>
          <w:szCs w:val="32"/>
          <w:shd w:val="clear" w:color="auto" w:fill="auto"/>
        </w:rPr>
        <w:t xml:space="preserve"> 建立认证人员管理制度，</w:t>
      </w:r>
      <w:r>
        <w:rPr>
          <w:rFonts w:hint="eastAsia"/>
          <w:lang w:val="en-US" w:eastAsia="zh-CN"/>
        </w:rPr>
        <w:t>明确</w:t>
      </w:r>
      <w:r>
        <w:rPr>
          <w:rFonts w:hint="eastAsia" w:ascii="仿宋_GB2312" w:hAnsi="仿宋_GB2312" w:eastAsia="仿宋_GB2312"/>
          <w:spacing w:val="0"/>
          <w:sz w:val="32"/>
          <w:szCs w:val="32"/>
          <w:shd w:val="clear" w:color="auto" w:fill="auto"/>
        </w:rPr>
        <w:t>认证人员的能力准则</w:t>
      </w:r>
      <w:r>
        <w:rPr>
          <w:rFonts w:hint="eastAsia"/>
          <w:lang w:eastAsia="zh-CN"/>
        </w:rPr>
        <w:t>、</w:t>
      </w:r>
      <w:r>
        <w:rPr>
          <w:rFonts w:hint="eastAsia" w:ascii="仿宋_GB2312" w:hAnsi="仿宋_GB2312" w:eastAsia="仿宋_GB2312"/>
          <w:spacing w:val="0"/>
          <w:sz w:val="32"/>
          <w:szCs w:val="32"/>
          <w:shd w:val="clear" w:color="auto" w:fill="auto"/>
        </w:rPr>
        <w:t>选择</w:t>
      </w:r>
      <w:r>
        <w:rPr>
          <w:rFonts w:hint="eastAsia"/>
          <w:lang w:val="en-US" w:eastAsia="zh-CN"/>
        </w:rPr>
        <w:t>条件</w:t>
      </w:r>
      <w:r>
        <w:rPr>
          <w:rFonts w:hint="eastAsia" w:ascii="仿宋_GB2312" w:hAnsi="仿宋_GB2312" w:eastAsia="仿宋_GB2312"/>
          <w:spacing w:val="0"/>
          <w:sz w:val="32"/>
          <w:szCs w:val="32"/>
          <w:shd w:val="clear" w:color="auto" w:fill="auto"/>
        </w:rPr>
        <w:t>、聘用</w:t>
      </w:r>
      <w:r>
        <w:rPr>
          <w:rFonts w:hint="eastAsia"/>
        </w:rPr>
        <w:t>和评价</w:t>
      </w:r>
      <w:r>
        <w:rPr>
          <w:rFonts w:hint="eastAsia" w:ascii="仿宋_GB2312" w:hAnsi="仿宋_GB2312" w:eastAsia="仿宋_GB2312"/>
          <w:spacing w:val="0"/>
          <w:sz w:val="32"/>
          <w:szCs w:val="32"/>
          <w:shd w:val="clear" w:color="auto" w:fill="auto"/>
        </w:rPr>
        <w:t>程序，以及能力提升机制。确保从事QMS认证的人员持续具备相应</w:t>
      </w:r>
      <w:r>
        <w:rPr>
          <w:rFonts w:hint="default" w:ascii="仿宋_GB2312" w:hAnsi="仿宋_GB2312" w:eastAsia="仿宋_GB2312"/>
          <w:spacing w:val="0"/>
          <w:sz w:val="32"/>
          <w:szCs w:val="32"/>
          <w:shd w:val="clear" w:color="auto" w:fill="auto"/>
        </w:rPr>
        <w:t>职业</w:t>
      </w:r>
      <w:r>
        <w:rPr>
          <w:rFonts w:hint="eastAsia" w:ascii="仿宋_GB2312" w:hAnsi="仿宋_GB2312" w:eastAsia="仿宋_GB2312"/>
          <w:spacing w:val="0"/>
          <w:sz w:val="32"/>
          <w:szCs w:val="32"/>
          <w:shd w:val="clear" w:color="auto" w:fill="auto"/>
        </w:rPr>
        <w:t>素</w:t>
      </w:r>
      <w:r>
        <w:rPr>
          <w:rFonts w:hint="default" w:ascii="仿宋_GB2312" w:hAnsi="仿宋_GB2312" w:eastAsia="仿宋_GB2312"/>
          <w:spacing w:val="0"/>
          <w:sz w:val="32"/>
          <w:szCs w:val="32"/>
          <w:shd w:val="clear" w:color="auto" w:fill="auto"/>
        </w:rPr>
        <w:t>养</w:t>
      </w:r>
      <w:r>
        <w:rPr>
          <w:rFonts w:hint="eastAsia" w:ascii="仿宋_GB2312" w:hAnsi="仿宋_GB2312" w:eastAsia="仿宋_GB2312"/>
          <w:spacing w:val="0"/>
          <w:sz w:val="32"/>
          <w:szCs w:val="32"/>
          <w:shd w:val="clear" w:color="auto" w:fill="auto"/>
        </w:rPr>
        <w:t>和能力。</w:t>
      </w:r>
    </w:p>
    <w:p>
      <w:pPr>
        <w:autoSpaceDE/>
        <w:autoSpaceDN/>
        <w:adjustRightInd/>
        <w:snapToGrid/>
        <w:spacing w:line="240" w:lineRule="auto"/>
        <w:ind w:firstLine="640" w:firstLineChars="200"/>
        <w:rPr>
          <w:rFonts w:hint="eastAsia" w:ascii="仿宋_GB2312" w:hAnsi="仿宋_GB2312" w:eastAsia="仿宋_GB2312"/>
          <w:spacing w:val="0"/>
          <w:sz w:val="32"/>
          <w:szCs w:val="32"/>
          <w:shd w:val="clear" w:color="auto" w:fill="auto"/>
        </w:rPr>
      </w:pPr>
      <w:r>
        <w:rPr>
          <w:rFonts w:hint="eastAsia" w:ascii="仿宋_GB2312" w:hAnsi="仿宋_GB2312" w:eastAsia="仿宋_GB2312"/>
          <w:spacing w:val="0"/>
          <w:sz w:val="32"/>
          <w:szCs w:val="32"/>
          <w:shd w:val="clear" w:color="auto" w:fill="auto"/>
        </w:rPr>
        <w:t>3.</w:t>
      </w:r>
      <w:r>
        <w:rPr>
          <w:rFonts w:hint="eastAsia"/>
          <w:spacing w:val="0"/>
          <w:sz w:val="32"/>
          <w:szCs w:val="32"/>
          <w:shd w:val="clear" w:color="auto" w:fill="auto"/>
          <w:lang w:val="en-US" w:eastAsia="zh-CN"/>
        </w:rPr>
        <w:t>6</w:t>
      </w:r>
      <w:r>
        <w:rPr>
          <w:rFonts w:hint="eastAsia" w:ascii="仿宋_GB2312" w:hAnsi="仿宋_GB2312" w:eastAsia="仿宋_GB2312"/>
          <w:spacing w:val="0"/>
          <w:sz w:val="32"/>
          <w:szCs w:val="32"/>
          <w:shd w:val="clear" w:color="auto" w:fill="auto"/>
        </w:rPr>
        <w:t xml:space="preserve"> 在拟开展</w:t>
      </w:r>
      <w:r>
        <w:rPr>
          <w:rFonts w:hint="eastAsia" w:ascii="仿宋_GB2312" w:hAnsi="仿宋_GB2312" w:eastAsia="仿宋_GB2312"/>
          <w:spacing w:val="0"/>
          <w:sz w:val="32"/>
          <w:szCs w:val="32"/>
          <w:highlight w:val="none"/>
          <w:shd w:val="clear" w:color="auto" w:fill="auto"/>
        </w:rPr>
        <w:t>的QMS认证业务范围（认证业务范围分类见附录A表A.1），具备2名（含）以上QMS专业</w:t>
      </w:r>
      <w:r>
        <w:rPr>
          <w:rFonts w:hint="eastAsia"/>
          <w:spacing w:val="0"/>
          <w:sz w:val="32"/>
          <w:szCs w:val="32"/>
          <w:highlight w:val="none"/>
          <w:shd w:val="clear" w:color="auto" w:fill="auto"/>
          <w:lang w:val="en-US" w:eastAsia="zh-CN"/>
        </w:rPr>
        <w:t>领域</w:t>
      </w:r>
      <w:r>
        <w:rPr>
          <w:rFonts w:hint="eastAsia" w:ascii="仿宋_GB2312" w:hAnsi="仿宋_GB2312" w:eastAsia="仿宋_GB2312"/>
          <w:spacing w:val="0"/>
          <w:sz w:val="32"/>
          <w:szCs w:val="32"/>
          <w:highlight w:val="none"/>
          <w:shd w:val="clear" w:color="auto" w:fill="auto"/>
        </w:rPr>
        <w:t>审核员。</w:t>
      </w:r>
      <w:r>
        <w:rPr>
          <w:rFonts w:hint="eastAsia"/>
          <w:highlight w:val="none"/>
          <w:lang w:val="en-US" w:eastAsia="zh-CN"/>
        </w:rPr>
        <w:t>认证机构应结合认证业务范围识别</w:t>
      </w:r>
      <w:r>
        <w:rPr>
          <w:rFonts w:hint="default"/>
          <w:highlight w:val="none"/>
        </w:rPr>
        <w:t>相</w:t>
      </w:r>
      <w:r>
        <w:rPr>
          <w:rFonts w:hint="eastAsia"/>
          <w:highlight w:val="none"/>
          <w:lang w:val="en-US" w:eastAsia="zh-CN"/>
        </w:rPr>
        <w:t>关</w:t>
      </w:r>
      <w:r>
        <w:rPr>
          <w:rFonts w:hint="default"/>
          <w:highlight w:val="none"/>
        </w:rPr>
        <w:t>专业的学历</w:t>
      </w:r>
      <w:r>
        <w:rPr>
          <w:rFonts w:hint="eastAsia"/>
          <w:highlight w:val="none"/>
          <w:lang w:val="en-US" w:eastAsia="zh-CN"/>
        </w:rPr>
        <w:t>和</w:t>
      </w:r>
      <w:r>
        <w:rPr>
          <w:rFonts w:hint="default"/>
        </w:rPr>
        <w:t>专业</w:t>
      </w:r>
      <w:r>
        <w:rPr>
          <w:rFonts w:hint="eastAsia"/>
          <w:lang w:val="en-US" w:eastAsia="zh-CN"/>
        </w:rPr>
        <w:t>质量</w:t>
      </w:r>
      <w:r>
        <w:rPr>
          <w:rFonts w:hint="default"/>
        </w:rPr>
        <w:t>技术工作经历。</w:t>
      </w:r>
      <w:r>
        <w:rPr>
          <w:rFonts w:hint="eastAsia"/>
          <w:lang w:val="en-US" w:eastAsia="zh-CN"/>
        </w:rPr>
        <w:t>相应</w:t>
      </w:r>
      <w:r>
        <w:rPr>
          <w:rFonts w:hint="eastAsia" w:ascii="仿宋_GB2312" w:hAnsi="仿宋_GB2312" w:eastAsia="仿宋_GB2312"/>
          <w:spacing w:val="0"/>
          <w:sz w:val="32"/>
          <w:szCs w:val="32"/>
          <w:shd w:val="clear" w:color="auto" w:fill="auto"/>
        </w:rPr>
        <w:t>认证业务范围的专业</w:t>
      </w:r>
      <w:r>
        <w:rPr>
          <w:rFonts w:hint="eastAsia"/>
          <w:spacing w:val="0"/>
          <w:sz w:val="32"/>
          <w:szCs w:val="32"/>
          <w:shd w:val="clear" w:color="auto" w:fill="auto"/>
          <w:lang w:val="en-US" w:eastAsia="zh-CN"/>
        </w:rPr>
        <w:t>领域</w:t>
      </w:r>
      <w:r>
        <w:rPr>
          <w:rFonts w:hint="eastAsia" w:ascii="仿宋_GB2312" w:hAnsi="仿宋_GB2312" w:eastAsia="仿宋_GB2312"/>
          <w:spacing w:val="0"/>
          <w:sz w:val="32"/>
          <w:szCs w:val="32"/>
          <w:shd w:val="clear" w:color="auto" w:fill="auto"/>
        </w:rPr>
        <w:t>审核员，应具备如下条件之一：</w:t>
      </w:r>
    </w:p>
    <w:p>
      <w:pPr>
        <w:autoSpaceDE/>
        <w:autoSpaceDN/>
        <w:adjustRightInd/>
        <w:snapToGrid/>
        <w:spacing w:line="240" w:lineRule="auto"/>
        <w:ind w:firstLine="640" w:firstLineChars="200"/>
        <w:rPr>
          <w:rFonts w:hint="eastAsia" w:ascii="仿宋_GB2312" w:hAnsi="仿宋_GB2312" w:eastAsia="仿宋_GB2312"/>
          <w:spacing w:val="0"/>
          <w:sz w:val="32"/>
          <w:szCs w:val="32"/>
          <w:shd w:val="clear" w:color="auto" w:fill="auto"/>
        </w:rPr>
      </w:pPr>
      <w:r>
        <w:rPr>
          <w:rFonts w:hint="eastAsia" w:ascii="仿宋_GB2312" w:hAnsi="仿宋_GB2312" w:eastAsia="仿宋_GB2312"/>
          <w:spacing w:val="0"/>
          <w:sz w:val="32"/>
          <w:szCs w:val="32"/>
          <w:shd w:val="clear" w:color="auto" w:fill="auto"/>
        </w:rPr>
        <w:t>（1）具有相</w:t>
      </w:r>
      <w:r>
        <w:rPr>
          <w:rFonts w:hint="default" w:ascii="仿宋_GB2312" w:hAnsi="仿宋_GB2312" w:eastAsia="仿宋_GB2312"/>
          <w:spacing w:val="0"/>
          <w:sz w:val="32"/>
          <w:szCs w:val="32"/>
          <w:shd w:val="clear" w:color="auto" w:fill="auto"/>
        </w:rPr>
        <w:t>关</w:t>
      </w:r>
      <w:r>
        <w:rPr>
          <w:rFonts w:hint="eastAsia" w:ascii="仿宋_GB2312" w:hAnsi="仿宋_GB2312" w:eastAsia="仿宋_GB2312"/>
          <w:spacing w:val="0"/>
          <w:sz w:val="32"/>
          <w:szCs w:val="32"/>
          <w:shd w:val="clear" w:color="auto" w:fill="auto"/>
        </w:rPr>
        <w:t>专业大专</w:t>
      </w:r>
      <w:r>
        <w:rPr>
          <w:rFonts w:hint="default" w:ascii="仿宋_GB2312" w:hAnsi="仿宋_GB2312" w:eastAsia="仿宋_GB2312"/>
          <w:spacing w:val="0"/>
          <w:sz w:val="32"/>
          <w:szCs w:val="32"/>
          <w:shd w:val="clear" w:color="auto" w:fill="auto"/>
        </w:rPr>
        <w:t>（含）</w:t>
      </w:r>
      <w:r>
        <w:rPr>
          <w:rFonts w:hint="eastAsia" w:ascii="仿宋_GB2312" w:hAnsi="仿宋_GB2312" w:eastAsia="仿宋_GB2312"/>
          <w:spacing w:val="0"/>
          <w:sz w:val="32"/>
          <w:szCs w:val="32"/>
          <w:shd w:val="clear" w:color="auto" w:fill="auto"/>
        </w:rPr>
        <w:t>以上学历</w:t>
      </w:r>
      <w:r>
        <w:rPr>
          <w:rFonts w:hint="eastAsia"/>
          <w:lang w:eastAsia="zh-CN"/>
        </w:rPr>
        <w:t>：</w:t>
      </w:r>
      <w:r>
        <w:rPr>
          <w:rFonts w:hint="eastAsia" w:ascii="仿宋_GB2312" w:hAnsi="仿宋_GB2312" w:eastAsia="仿宋_GB2312"/>
          <w:spacing w:val="0"/>
          <w:sz w:val="32"/>
          <w:szCs w:val="32"/>
          <w:shd w:val="clear" w:color="auto" w:fill="auto"/>
        </w:rPr>
        <w:t>在中</w:t>
      </w:r>
      <w:r>
        <w:rPr>
          <w:rFonts w:hint="eastAsia"/>
          <w:lang w:val="en-US" w:eastAsia="zh-CN"/>
        </w:rPr>
        <w:t>/</w:t>
      </w:r>
      <w:r>
        <w:rPr>
          <w:rFonts w:hint="eastAsia" w:ascii="仿宋_GB2312" w:hAnsi="仿宋_GB2312" w:eastAsia="仿宋_GB2312"/>
          <w:spacing w:val="0"/>
          <w:sz w:val="32"/>
          <w:szCs w:val="32"/>
          <w:shd w:val="clear" w:color="auto" w:fill="auto"/>
        </w:rPr>
        <w:t>低风险认证业务范围具有至少1年（含）以上该</w:t>
      </w:r>
      <w:r>
        <w:rPr>
          <w:rFonts w:hint="default" w:ascii="仿宋_GB2312" w:hAnsi="仿宋_GB2312" w:eastAsia="仿宋_GB2312"/>
          <w:spacing w:val="0"/>
          <w:sz w:val="32"/>
          <w:szCs w:val="32"/>
          <w:shd w:val="clear" w:color="auto" w:fill="auto"/>
        </w:rPr>
        <w:t>专业</w:t>
      </w:r>
      <w:r>
        <w:rPr>
          <w:rFonts w:hint="eastAsia" w:ascii="仿宋_GB2312" w:hAnsi="仿宋_GB2312" w:eastAsia="仿宋_GB2312"/>
          <w:spacing w:val="0"/>
          <w:sz w:val="32"/>
          <w:szCs w:val="32"/>
          <w:shd w:val="clear" w:color="auto" w:fill="auto"/>
        </w:rPr>
        <w:t>的质量技术工作经历；在高风险认证业务范围，大专学历具有3年（含）以上，本科及以上学历具有2年（含）以上该专业的质量技术工作经历；</w:t>
      </w:r>
    </w:p>
    <w:p>
      <w:pPr>
        <w:autoSpaceDE/>
        <w:autoSpaceDN/>
        <w:adjustRightInd w:val="0"/>
        <w:snapToGrid w:val="0"/>
        <w:spacing w:line="440" w:lineRule="exact"/>
        <w:ind w:firstLine="592" w:firstLineChars="200"/>
        <w:rPr>
          <w:rFonts w:hint="eastAsia" w:ascii="仿宋_GB2312" w:hAnsi="仿宋_GB2312" w:eastAsia="仿宋_GB2312"/>
          <w:spacing w:val="8"/>
          <w:sz w:val="28"/>
          <w:szCs w:val="28"/>
          <w:shd w:val="clear" w:color="auto" w:fill="FFFFFF"/>
        </w:rPr>
      </w:pPr>
      <w:r>
        <w:rPr>
          <w:rFonts w:hint="eastAsia" w:ascii="仿宋_GB2312" w:hAnsi="仿宋_GB2312" w:eastAsia="仿宋_GB2312"/>
          <w:spacing w:val="8"/>
          <w:sz w:val="28"/>
          <w:szCs w:val="28"/>
          <w:shd w:val="clear" w:color="auto" w:fill="FFFFFF"/>
        </w:rPr>
        <w:t>注1：相关专业是指与认证业务范围类别专业知识相关的教育经历。</w:t>
      </w:r>
    </w:p>
    <w:p>
      <w:pPr>
        <w:autoSpaceDE/>
        <w:autoSpaceDN/>
        <w:adjustRightInd w:val="0"/>
        <w:snapToGrid w:val="0"/>
        <w:spacing w:line="440" w:lineRule="exact"/>
        <w:ind w:firstLine="592" w:firstLineChars="200"/>
        <w:rPr>
          <w:rFonts w:hint="eastAsia" w:ascii="仿宋_GB2312" w:hAnsi="仿宋_GB2312" w:eastAsia="仿宋_GB2312"/>
          <w:spacing w:val="8"/>
          <w:sz w:val="28"/>
          <w:szCs w:val="28"/>
          <w:shd w:val="clear" w:color="auto" w:fill="FFFFFF"/>
        </w:rPr>
      </w:pPr>
      <w:r>
        <w:rPr>
          <w:rFonts w:hint="eastAsia" w:ascii="仿宋_GB2312" w:hAnsi="仿宋_GB2312" w:eastAsia="仿宋_GB2312"/>
          <w:spacing w:val="8"/>
          <w:sz w:val="28"/>
          <w:szCs w:val="28"/>
          <w:shd w:val="clear" w:color="auto" w:fill="FFFFFF"/>
        </w:rPr>
        <w:t>注2：质量技术工作包括产品和服务的设计、生产、</w:t>
      </w:r>
      <w:r>
        <w:rPr>
          <w:rFonts w:hint="eastAsia"/>
          <w:spacing w:val="8"/>
          <w:sz w:val="28"/>
          <w:szCs w:val="28"/>
          <w:shd w:val="clear" w:color="auto" w:fill="FFFFFF"/>
          <w:lang w:val="en-US" w:eastAsia="zh-CN"/>
        </w:rPr>
        <w:t>工艺设计</w:t>
      </w:r>
      <w:r>
        <w:rPr>
          <w:rFonts w:hint="eastAsia" w:ascii="仿宋_GB2312" w:hAnsi="仿宋_GB2312" w:eastAsia="仿宋_GB2312"/>
          <w:spacing w:val="8"/>
          <w:sz w:val="28"/>
          <w:szCs w:val="28"/>
          <w:shd w:val="clear" w:color="auto" w:fill="FFFFFF"/>
        </w:rPr>
        <w:t>、检测、质量管理、教学、科研等。</w:t>
      </w:r>
    </w:p>
    <w:p>
      <w:pPr>
        <w:autoSpaceDE/>
        <w:autoSpaceDN/>
        <w:adjustRightInd w:val="0"/>
        <w:snapToGrid w:val="0"/>
        <w:spacing w:line="440" w:lineRule="exact"/>
        <w:ind w:firstLine="592" w:firstLineChars="200"/>
        <w:rPr>
          <w:rFonts w:hint="eastAsia" w:ascii="仿宋_GB2312" w:hAnsi="仿宋_GB2312" w:eastAsia="仿宋_GB2312"/>
          <w:spacing w:val="8"/>
          <w:sz w:val="28"/>
          <w:szCs w:val="28"/>
          <w:shd w:val="clear" w:color="auto" w:fill="FFFFFF"/>
        </w:rPr>
      </w:pPr>
      <w:r>
        <w:rPr>
          <w:rFonts w:hint="eastAsia" w:ascii="仿宋_GB2312" w:hAnsi="仿宋_GB2312" w:eastAsia="仿宋_GB2312"/>
          <w:spacing w:val="8"/>
          <w:sz w:val="28"/>
          <w:szCs w:val="28"/>
          <w:shd w:val="clear" w:color="auto" w:fill="FFFFFF"/>
        </w:rPr>
        <w:t>注3：</w:t>
      </w:r>
      <w:r>
        <w:rPr>
          <w:rFonts w:hint="eastAsia" w:ascii="仿宋_GB2312" w:hAnsi="仿宋_GB2312" w:eastAsia="仿宋_GB2312" w:cs="仿宋_GB2312"/>
          <w:spacing w:val="8"/>
          <w:sz w:val="28"/>
          <w:szCs w:val="28"/>
          <w:shd w:val="clear" w:color="auto" w:fill="FFFFFF"/>
          <w:lang w:val="en-US" w:eastAsia="zh-CN"/>
        </w:rPr>
        <w:t>认证机构应</w:t>
      </w:r>
      <w:r>
        <w:rPr>
          <w:rFonts w:hint="eastAsia" w:ascii="仿宋_GB2312" w:hAnsi="仿宋_GB2312" w:eastAsia="仿宋_GB2312"/>
          <w:spacing w:val="8"/>
          <w:sz w:val="28"/>
          <w:szCs w:val="28"/>
          <w:shd w:val="clear" w:color="auto" w:fill="FFFFFF"/>
        </w:rPr>
        <w:t>参照附录A表A.2</w:t>
      </w:r>
      <w:r>
        <w:rPr>
          <w:rFonts w:hint="eastAsia" w:ascii="仿宋_GB2312" w:hAnsi="仿宋_GB2312" w:eastAsia="仿宋_GB2312" w:cs="仿宋_GB2312"/>
          <w:spacing w:val="8"/>
          <w:sz w:val="28"/>
          <w:szCs w:val="28"/>
          <w:shd w:val="clear" w:color="auto" w:fill="FFFFFF"/>
          <w:lang w:val="en-US" w:eastAsia="zh-CN"/>
        </w:rPr>
        <w:t>确定QMS认证业务范围的风险类型</w:t>
      </w:r>
      <w:r>
        <w:rPr>
          <w:rFonts w:hint="eastAsia" w:ascii="仿宋_GB2312" w:hAnsi="仿宋_GB2312" w:eastAsia="仿宋_GB2312"/>
          <w:spacing w:val="8"/>
          <w:sz w:val="28"/>
          <w:szCs w:val="28"/>
          <w:shd w:val="clear" w:color="auto" w:fill="FFFFFF"/>
        </w:rPr>
        <w:t>。</w:t>
      </w:r>
    </w:p>
    <w:p>
      <w:pPr>
        <w:autoSpaceDE/>
        <w:autoSpaceDN/>
        <w:adjustRightInd/>
        <w:snapToGrid/>
        <w:spacing w:line="240" w:lineRule="auto"/>
        <w:ind w:firstLine="640" w:firstLineChars="200"/>
        <w:rPr>
          <w:rFonts w:hint="eastAsia" w:ascii="仿宋_GB2312" w:hAnsi="仿宋_GB2312" w:eastAsia="仿宋_GB2312"/>
          <w:spacing w:val="0"/>
          <w:sz w:val="32"/>
          <w:szCs w:val="32"/>
          <w:shd w:val="clear" w:color="auto" w:fill="auto"/>
        </w:rPr>
      </w:pPr>
      <w:r>
        <w:rPr>
          <w:rFonts w:hint="eastAsia" w:ascii="仿宋_GB2312" w:hAnsi="仿宋_GB2312" w:eastAsia="仿宋_GB2312"/>
          <w:spacing w:val="0"/>
          <w:sz w:val="32"/>
          <w:szCs w:val="32"/>
          <w:shd w:val="clear" w:color="auto" w:fill="auto"/>
        </w:rPr>
        <w:t>（2）具有非相</w:t>
      </w:r>
      <w:r>
        <w:rPr>
          <w:rFonts w:hint="default" w:ascii="仿宋_GB2312" w:hAnsi="仿宋_GB2312" w:eastAsia="仿宋_GB2312"/>
          <w:spacing w:val="0"/>
          <w:sz w:val="32"/>
          <w:szCs w:val="32"/>
          <w:shd w:val="clear" w:color="auto" w:fill="auto"/>
        </w:rPr>
        <w:t>关</w:t>
      </w:r>
      <w:r>
        <w:rPr>
          <w:rFonts w:hint="eastAsia" w:ascii="仿宋_GB2312" w:hAnsi="仿宋_GB2312" w:eastAsia="仿宋_GB2312"/>
          <w:spacing w:val="0"/>
          <w:sz w:val="32"/>
          <w:szCs w:val="32"/>
          <w:shd w:val="clear" w:color="auto" w:fill="auto"/>
        </w:rPr>
        <w:t>专业大专</w:t>
      </w:r>
      <w:r>
        <w:rPr>
          <w:rFonts w:hint="default" w:ascii="仿宋_GB2312" w:hAnsi="仿宋_GB2312" w:eastAsia="仿宋_GB2312"/>
          <w:spacing w:val="0"/>
          <w:sz w:val="32"/>
          <w:szCs w:val="32"/>
          <w:shd w:val="clear" w:color="auto" w:fill="auto"/>
        </w:rPr>
        <w:t>（含）</w:t>
      </w:r>
      <w:r>
        <w:rPr>
          <w:rFonts w:hint="eastAsia" w:ascii="仿宋_GB2312" w:hAnsi="仿宋_GB2312" w:eastAsia="仿宋_GB2312"/>
          <w:spacing w:val="0"/>
          <w:sz w:val="32"/>
          <w:szCs w:val="32"/>
          <w:shd w:val="clear" w:color="auto" w:fill="auto"/>
        </w:rPr>
        <w:t>以上学历</w:t>
      </w:r>
      <w:r>
        <w:rPr>
          <w:rFonts w:hint="eastAsia"/>
          <w:lang w:eastAsia="zh-CN"/>
        </w:rPr>
        <w:t>：</w:t>
      </w:r>
      <w:r>
        <w:rPr>
          <w:rFonts w:hint="eastAsia" w:ascii="仿宋_GB2312" w:hAnsi="仿宋_GB2312" w:eastAsia="仿宋_GB2312"/>
          <w:spacing w:val="0"/>
          <w:sz w:val="32"/>
          <w:szCs w:val="32"/>
          <w:shd w:val="clear" w:color="auto" w:fill="auto"/>
        </w:rPr>
        <w:t>在中/低风险认证业务范围具有3年（含）以上相</w:t>
      </w:r>
      <w:r>
        <w:rPr>
          <w:rFonts w:hint="default" w:ascii="仿宋_GB2312" w:hAnsi="仿宋_GB2312" w:eastAsia="仿宋_GB2312"/>
          <w:spacing w:val="0"/>
          <w:sz w:val="32"/>
          <w:szCs w:val="32"/>
          <w:shd w:val="clear" w:color="auto" w:fill="auto"/>
        </w:rPr>
        <w:t>关</w:t>
      </w:r>
      <w:r>
        <w:rPr>
          <w:rFonts w:hint="eastAsia" w:ascii="仿宋_GB2312" w:hAnsi="仿宋_GB2312" w:eastAsia="仿宋_GB2312"/>
          <w:spacing w:val="0"/>
          <w:sz w:val="32"/>
          <w:szCs w:val="32"/>
          <w:shd w:val="clear" w:color="auto" w:fill="auto"/>
        </w:rPr>
        <w:t>专业的</w:t>
      </w:r>
      <w:r>
        <w:rPr>
          <w:rFonts w:hint="eastAsia"/>
          <w:lang w:val="en-US" w:eastAsia="zh-CN"/>
        </w:rPr>
        <w:t>质量</w:t>
      </w:r>
      <w:r>
        <w:rPr>
          <w:rFonts w:hint="eastAsia" w:ascii="仿宋_GB2312" w:hAnsi="仿宋_GB2312" w:eastAsia="仿宋_GB2312"/>
          <w:spacing w:val="0"/>
          <w:sz w:val="32"/>
          <w:szCs w:val="32"/>
          <w:shd w:val="clear" w:color="auto" w:fill="auto"/>
        </w:rPr>
        <w:t>技术工作经历；</w:t>
      </w:r>
      <w:r>
        <w:rPr>
          <w:rFonts w:hint="eastAsia"/>
          <w:lang w:val="en-US" w:eastAsia="zh-CN"/>
        </w:rPr>
        <w:t>在</w:t>
      </w:r>
      <w:r>
        <w:rPr>
          <w:rFonts w:hint="eastAsia" w:ascii="仿宋_GB2312" w:hAnsi="仿宋_GB2312" w:eastAsia="仿宋_GB2312"/>
          <w:spacing w:val="0"/>
          <w:sz w:val="32"/>
          <w:szCs w:val="32"/>
          <w:shd w:val="clear" w:color="auto" w:fill="auto"/>
        </w:rPr>
        <w:t>高风险认证业务范围，大专学历具有5年（含）以上，本科及以上学历具有4年（含）以上相</w:t>
      </w:r>
      <w:r>
        <w:rPr>
          <w:rFonts w:hint="default" w:ascii="仿宋_GB2312" w:hAnsi="仿宋_GB2312" w:eastAsia="仿宋_GB2312"/>
          <w:spacing w:val="0"/>
          <w:sz w:val="32"/>
          <w:szCs w:val="32"/>
          <w:shd w:val="clear" w:color="auto" w:fill="auto"/>
        </w:rPr>
        <w:t>关</w:t>
      </w:r>
      <w:r>
        <w:rPr>
          <w:rFonts w:hint="eastAsia" w:ascii="仿宋_GB2312" w:hAnsi="仿宋_GB2312" w:eastAsia="仿宋_GB2312"/>
          <w:spacing w:val="0"/>
          <w:sz w:val="32"/>
          <w:szCs w:val="32"/>
          <w:shd w:val="clear" w:color="auto" w:fill="auto"/>
        </w:rPr>
        <w:t>专业的</w:t>
      </w:r>
      <w:r>
        <w:rPr>
          <w:rFonts w:hint="eastAsia"/>
          <w:lang w:val="en-US" w:eastAsia="zh-CN"/>
        </w:rPr>
        <w:t>质量</w:t>
      </w:r>
      <w:r>
        <w:rPr>
          <w:rFonts w:hint="eastAsia" w:ascii="仿宋_GB2312" w:hAnsi="仿宋_GB2312" w:eastAsia="仿宋_GB2312"/>
          <w:spacing w:val="0"/>
          <w:sz w:val="32"/>
          <w:szCs w:val="32"/>
          <w:shd w:val="clear" w:color="auto" w:fill="auto"/>
        </w:rPr>
        <w:t>技术工作经历；</w:t>
      </w:r>
    </w:p>
    <w:p>
      <w:pPr>
        <w:adjustRightInd/>
        <w:snapToGrid/>
        <w:spacing w:line="240" w:lineRule="auto"/>
        <w:ind w:firstLine="640" w:firstLineChars="200"/>
        <w:rPr>
          <w:rFonts w:hint="eastAsia" w:ascii="仿宋_GB2312" w:hAnsi="仿宋_GB2312" w:eastAsia="仿宋_GB2312"/>
          <w:spacing w:val="0"/>
          <w:sz w:val="32"/>
          <w:szCs w:val="32"/>
          <w:shd w:val="clear" w:color="auto" w:fill="auto"/>
        </w:rPr>
      </w:pPr>
      <w:r>
        <w:rPr>
          <w:rFonts w:hint="eastAsia" w:ascii="仿宋_GB2312" w:hAnsi="仿宋_GB2312" w:eastAsia="仿宋_GB2312"/>
          <w:spacing w:val="0"/>
          <w:sz w:val="32"/>
          <w:szCs w:val="32"/>
          <w:shd w:val="clear" w:color="auto" w:fill="auto"/>
        </w:rPr>
        <w:t>（3）中/低风险认证业务范围具有该</w:t>
      </w:r>
      <w:r>
        <w:rPr>
          <w:rFonts w:hint="eastAsia"/>
          <w:lang w:val="en-US" w:eastAsia="zh-CN"/>
        </w:rPr>
        <w:t>专业</w:t>
      </w:r>
      <w:r>
        <w:rPr>
          <w:rFonts w:hint="eastAsia" w:ascii="仿宋_GB2312" w:hAnsi="仿宋_GB2312" w:eastAsia="仿宋_GB2312"/>
          <w:spacing w:val="0"/>
          <w:sz w:val="32"/>
          <w:szCs w:val="32"/>
          <w:shd w:val="clear" w:color="auto" w:fill="auto"/>
        </w:rPr>
        <w:t>中级</w:t>
      </w:r>
      <w:r>
        <w:rPr>
          <w:rFonts w:hint="default" w:ascii="仿宋_GB2312" w:hAnsi="仿宋_GB2312" w:eastAsia="仿宋_GB2312"/>
          <w:spacing w:val="0"/>
          <w:sz w:val="32"/>
          <w:szCs w:val="32"/>
          <w:shd w:val="clear" w:color="auto" w:fill="auto"/>
        </w:rPr>
        <w:t>（含）</w:t>
      </w:r>
      <w:r>
        <w:rPr>
          <w:rFonts w:hint="eastAsia" w:ascii="仿宋_GB2312" w:hAnsi="仿宋_GB2312" w:eastAsia="仿宋_GB2312"/>
          <w:spacing w:val="0"/>
          <w:sz w:val="32"/>
          <w:szCs w:val="32"/>
          <w:shd w:val="clear" w:color="auto" w:fill="auto"/>
        </w:rPr>
        <w:t>以上技术职称，高风险认证业务范围具有</w:t>
      </w:r>
      <w:r>
        <w:rPr>
          <w:rFonts w:hint="default" w:ascii="仿宋_GB2312" w:hAnsi="仿宋_GB2312" w:eastAsia="仿宋_GB2312"/>
          <w:spacing w:val="0"/>
          <w:sz w:val="32"/>
          <w:szCs w:val="32"/>
          <w:shd w:val="clear" w:color="auto" w:fill="auto"/>
        </w:rPr>
        <w:t>该</w:t>
      </w:r>
      <w:r>
        <w:rPr>
          <w:rFonts w:hint="eastAsia"/>
          <w:lang w:val="en-US" w:eastAsia="zh-CN"/>
        </w:rPr>
        <w:t>专业</w:t>
      </w:r>
      <w:r>
        <w:rPr>
          <w:rFonts w:hint="eastAsia" w:ascii="仿宋_GB2312" w:hAnsi="仿宋_GB2312" w:eastAsia="仿宋_GB2312"/>
          <w:spacing w:val="0"/>
          <w:sz w:val="32"/>
          <w:szCs w:val="32"/>
          <w:shd w:val="clear" w:color="auto" w:fill="auto"/>
        </w:rPr>
        <w:t>高级技术职称；</w:t>
      </w:r>
    </w:p>
    <w:p>
      <w:pPr>
        <w:autoSpaceDE/>
        <w:autoSpaceDN/>
        <w:adjustRightInd/>
        <w:snapToGrid/>
        <w:spacing w:line="240" w:lineRule="auto"/>
        <w:ind w:firstLine="640" w:firstLineChars="200"/>
        <w:rPr>
          <w:rFonts w:hint="eastAsia" w:ascii="仿宋_GB2312" w:hAnsi="仿宋_GB2312" w:eastAsia="仿宋_GB2312"/>
          <w:spacing w:val="0"/>
          <w:sz w:val="32"/>
          <w:szCs w:val="32"/>
          <w:shd w:val="clear" w:color="auto" w:fill="auto"/>
        </w:rPr>
      </w:pPr>
      <w:r>
        <w:rPr>
          <w:rFonts w:hint="eastAsia" w:ascii="仿宋_GB2312" w:hAnsi="仿宋_GB2312" w:eastAsia="仿宋_GB2312"/>
          <w:spacing w:val="0"/>
          <w:sz w:val="32"/>
          <w:szCs w:val="32"/>
          <w:shd w:val="clear" w:color="auto" w:fill="auto"/>
        </w:rPr>
        <w:t>（4）</w:t>
      </w:r>
      <w:r>
        <w:rPr>
          <w:rFonts w:hint="eastAsia"/>
          <w:spacing w:val="0"/>
          <w:sz w:val="32"/>
          <w:szCs w:val="32"/>
          <w:shd w:val="clear" w:color="auto" w:fill="auto"/>
          <w:lang w:val="en-US" w:eastAsia="zh-CN"/>
        </w:rPr>
        <w:t>取得</w:t>
      </w:r>
      <w:r>
        <w:rPr>
          <w:rFonts w:hint="eastAsia"/>
          <w:lang w:val="en-US" w:eastAsia="zh-CN"/>
        </w:rPr>
        <w:t>QMS正式</w:t>
      </w:r>
      <w:r>
        <w:rPr>
          <w:rFonts w:hint="default" w:ascii="仿宋_GB2312" w:hAnsi="仿宋_GB2312" w:eastAsia="仿宋_GB2312"/>
          <w:spacing w:val="0"/>
          <w:sz w:val="32"/>
          <w:szCs w:val="32"/>
          <w:shd w:val="clear" w:color="auto" w:fill="auto"/>
        </w:rPr>
        <w:t>审核员</w:t>
      </w:r>
      <w:r>
        <w:rPr>
          <w:rFonts w:hint="eastAsia"/>
          <w:lang w:val="en-US" w:eastAsia="zh-CN"/>
        </w:rPr>
        <w:t>注册</w:t>
      </w:r>
      <w:r>
        <w:rPr>
          <w:rFonts w:hint="default" w:ascii="仿宋_GB2312" w:hAnsi="仿宋_GB2312" w:eastAsia="仿宋_GB2312"/>
          <w:spacing w:val="0"/>
          <w:sz w:val="32"/>
          <w:szCs w:val="32"/>
          <w:shd w:val="clear" w:color="auto" w:fill="auto"/>
        </w:rPr>
        <w:t>资格</w:t>
      </w:r>
      <w:r>
        <w:rPr>
          <w:rFonts w:hint="eastAsia"/>
          <w:spacing w:val="0"/>
          <w:sz w:val="32"/>
          <w:szCs w:val="32"/>
          <w:shd w:val="clear" w:color="auto" w:fill="auto"/>
          <w:lang w:val="en-US" w:eastAsia="zh-CN"/>
        </w:rPr>
        <w:t>后</w:t>
      </w:r>
      <w:r>
        <w:rPr>
          <w:rFonts w:hint="default" w:ascii="仿宋_GB2312" w:hAnsi="仿宋_GB2312" w:eastAsia="仿宋_GB2312"/>
          <w:spacing w:val="0"/>
          <w:sz w:val="32"/>
          <w:szCs w:val="32"/>
          <w:shd w:val="clear" w:color="auto" w:fill="auto"/>
        </w:rPr>
        <w:t>，</w:t>
      </w:r>
      <w:r>
        <w:rPr>
          <w:rFonts w:hint="eastAsia" w:ascii="仿宋_GB2312" w:hAnsi="仿宋_GB2312" w:eastAsia="仿宋_GB2312"/>
          <w:spacing w:val="0"/>
          <w:sz w:val="32"/>
          <w:szCs w:val="32"/>
          <w:shd w:val="clear" w:color="auto" w:fill="auto"/>
        </w:rPr>
        <w:t>参加该认证业务范围质量专业技术培训且考核合格，并且在QMS专业</w:t>
      </w:r>
      <w:r>
        <w:rPr>
          <w:rFonts w:hint="eastAsia"/>
          <w:spacing w:val="0"/>
          <w:sz w:val="32"/>
          <w:szCs w:val="32"/>
          <w:shd w:val="clear" w:color="auto" w:fill="auto"/>
          <w:lang w:val="en-US" w:eastAsia="zh-CN"/>
        </w:rPr>
        <w:t>领域</w:t>
      </w:r>
      <w:r>
        <w:rPr>
          <w:rFonts w:hint="eastAsia" w:ascii="仿宋_GB2312" w:hAnsi="仿宋_GB2312" w:eastAsia="仿宋_GB2312"/>
          <w:spacing w:val="0"/>
          <w:sz w:val="32"/>
          <w:szCs w:val="32"/>
          <w:shd w:val="clear" w:color="auto" w:fill="auto"/>
        </w:rPr>
        <w:t>审核员</w:t>
      </w:r>
      <w:r>
        <w:rPr>
          <w:rFonts w:hint="default" w:ascii="仿宋_GB2312" w:hAnsi="仿宋_GB2312" w:eastAsia="仿宋_GB2312"/>
          <w:spacing w:val="0"/>
          <w:sz w:val="32"/>
          <w:szCs w:val="32"/>
          <w:shd w:val="clear" w:color="auto" w:fill="auto"/>
        </w:rPr>
        <w:t>或技术专家的</w:t>
      </w:r>
      <w:r>
        <w:rPr>
          <w:rFonts w:hint="eastAsia" w:ascii="仿宋_GB2312" w:hAnsi="仿宋_GB2312" w:eastAsia="仿宋_GB2312"/>
          <w:spacing w:val="0"/>
          <w:sz w:val="32"/>
          <w:szCs w:val="32"/>
          <w:shd w:val="clear" w:color="auto" w:fill="auto"/>
        </w:rPr>
        <w:t>指导下完成一定数量的QMS专业审核活动：中/低风险认证业务范围不少于4次10个现场审核</w:t>
      </w:r>
      <w:r>
        <w:rPr>
          <w:rFonts w:hint="eastAsia"/>
          <w:spacing w:val="0"/>
          <w:sz w:val="32"/>
          <w:szCs w:val="32"/>
          <w:shd w:val="clear" w:color="auto" w:fill="auto"/>
          <w:lang w:val="en-US" w:eastAsia="zh-CN"/>
        </w:rPr>
        <w:t>人</w:t>
      </w:r>
      <w:r>
        <w:rPr>
          <w:rFonts w:hint="eastAsia" w:ascii="仿宋_GB2312" w:hAnsi="仿宋_GB2312" w:eastAsia="仿宋_GB2312"/>
          <w:spacing w:val="0"/>
          <w:sz w:val="32"/>
          <w:szCs w:val="32"/>
          <w:shd w:val="clear" w:color="auto" w:fill="auto"/>
        </w:rPr>
        <w:t>日，高风险认证业务范围不少于6次20个现场审核</w:t>
      </w:r>
      <w:r>
        <w:rPr>
          <w:rFonts w:hint="eastAsia"/>
          <w:spacing w:val="0"/>
          <w:sz w:val="32"/>
          <w:szCs w:val="32"/>
          <w:shd w:val="clear" w:color="auto" w:fill="auto"/>
          <w:lang w:val="en-US" w:eastAsia="zh-CN"/>
        </w:rPr>
        <w:t>人</w:t>
      </w:r>
      <w:r>
        <w:rPr>
          <w:rFonts w:hint="eastAsia" w:ascii="仿宋_GB2312" w:hAnsi="仿宋_GB2312" w:eastAsia="仿宋_GB2312"/>
          <w:spacing w:val="0"/>
          <w:sz w:val="32"/>
          <w:szCs w:val="32"/>
          <w:shd w:val="clear" w:color="auto" w:fill="auto"/>
        </w:rPr>
        <w:t>日；</w:t>
      </w:r>
    </w:p>
    <w:p>
      <w:pPr>
        <w:autoSpaceDE/>
        <w:autoSpaceDN/>
        <w:adjustRightInd/>
        <w:snapToGrid/>
        <w:spacing w:line="240" w:lineRule="auto"/>
        <w:ind w:firstLine="640" w:firstLineChars="200"/>
        <w:rPr>
          <w:rFonts w:hint="eastAsia" w:ascii="仿宋_GB2312" w:hAnsi="仿宋_GB2312" w:eastAsia="仿宋_GB2312"/>
          <w:spacing w:val="0"/>
          <w:sz w:val="32"/>
          <w:szCs w:val="32"/>
          <w:shd w:val="clear" w:color="auto" w:fill="auto"/>
        </w:rPr>
      </w:pPr>
      <w:r>
        <w:rPr>
          <w:rFonts w:hint="eastAsia" w:ascii="仿宋_GB2312" w:hAnsi="仿宋_GB2312" w:eastAsia="仿宋_GB2312"/>
          <w:spacing w:val="0"/>
          <w:sz w:val="32"/>
          <w:szCs w:val="32"/>
          <w:shd w:val="clear" w:color="auto" w:fill="auto"/>
        </w:rPr>
        <w:t>（5）作为项目主要参加人，在该</w:t>
      </w:r>
      <w:r>
        <w:rPr>
          <w:rFonts w:hint="eastAsia"/>
          <w:lang w:val="en-US" w:eastAsia="zh-CN"/>
        </w:rPr>
        <w:t>专业</w:t>
      </w:r>
      <w:r>
        <w:rPr>
          <w:rFonts w:hint="eastAsia" w:ascii="仿宋_GB2312" w:hAnsi="仿宋_GB2312" w:eastAsia="仿宋_GB2312"/>
          <w:spacing w:val="0"/>
          <w:sz w:val="32"/>
          <w:szCs w:val="32"/>
          <w:shd w:val="clear" w:color="auto" w:fill="auto"/>
        </w:rPr>
        <w:t>完成一定数量的质量标准（应用于</w:t>
      </w:r>
      <w:r>
        <w:rPr>
          <w:rFonts w:hint="eastAsia"/>
          <w:spacing w:val="0"/>
          <w:sz w:val="32"/>
          <w:szCs w:val="32"/>
          <w:highlight w:val="none"/>
          <w:shd w:val="clear" w:color="auto" w:fill="auto"/>
          <w:lang w:val="en-US" w:eastAsia="zh-CN"/>
        </w:rPr>
        <w:t>相应</w:t>
      </w:r>
      <w:r>
        <w:rPr>
          <w:rFonts w:hint="eastAsia" w:ascii="仿宋_GB2312" w:hAnsi="仿宋_GB2312" w:eastAsia="仿宋_GB2312"/>
          <w:spacing w:val="0"/>
          <w:sz w:val="32"/>
          <w:szCs w:val="32"/>
          <w:highlight w:val="none"/>
          <w:shd w:val="clear" w:color="auto" w:fill="auto"/>
        </w:rPr>
        <w:t>行业</w:t>
      </w:r>
      <w:r>
        <w:rPr>
          <w:rFonts w:hint="eastAsia"/>
          <w:spacing w:val="0"/>
          <w:sz w:val="32"/>
          <w:szCs w:val="32"/>
          <w:highlight w:val="none"/>
          <w:shd w:val="clear" w:color="auto" w:fill="auto"/>
          <w:lang w:val="en-US" w:eastAsia="zh-CN"/>
        </w:rPr>
        <w:t>/</w:t>
      </w:r>
      <w:r>
        <w:rPr>
          <w:rFonts w:hint="eastAsia" w:ascii="仿宋_GB2312" w:hAnsi="仿宋_GB2312" w:eastAsia="仿宋_GB2312"/>
          <w:spacing w:val="0"/>
          <w:sz w:val="32"/>
          <w:szCs w:val="32"/>
          <w:shd w:val="clear" w:color="auto" w:fill="auto"/>
        </w:rPr>
        <w:t>过程的质量控制标准）的制定、科研和设计开发等</w:t>
      </w:r>
      <w:r>
        <w:rPr>
          <w:rFonts w:hint="eastAsia"/>
          <w:lang w:val="en-US" w:eastAsia="zh-CN"/>
        </w:rPr>
        <w:t>质量技术工作</w:t>
      </w:r>
      <w:r>
        <w:rPr>
          <w:rFonts w:hint="eastAsia" w:ascii="仿宋_GB2312" w:hAnsi="仿宋_GB2312" w:eastAsia="仿宋_GB2312"/>
          <w:spacing w:val="0"/>
          <w:sz w:val="32"/>
          <w:szCs w:val="32"/>
          <w:shd w:val="clear" w:color="auto" w:fill="auto"/>
        </w:rPr>
        <w:t>。</w:t>
      </w:r>
      <w:r>
        <w:rPr>
          <w:rFonts w:hint="eastAsia"/>
          <w:lang w:val="en-US" w:eastAsia="zh-CN"/>
        </w:rPr>
        <w:t>其中，</w:t>
      </w:r>
      <w:r>
        <w:rPr>
          <w:rFonts w:hint="eastAsia" w:ascii="仿宋_GB2312" w:hAnsi="仿宋_GB2312" w:eastAsia="仿宋_GB2312"/>
          <w:spacing w:val="0"/>
          <w:sz w:val="32"/>
          <w:szCs w:val="32"/>
          <w:shd w:val="clear" w:color="auto" w:fill="auto"/>
        </w:rPr>
        <w:t>高风险认证业务范围的数量要求至少为2项，中/低风险认证业务范围的数量要求至少为1项。</w:t>
      </w:r>
      <w:bookmarkStart w:id="19" w:name="_Hlk177978801"/>
    </w:p>
    <w:bookmarkEnd w:id="19"/>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w:t>
      </w:r>
      <w:r>
        <w:rPr>
          <w:rFonts w:hint="eastAsia"/>
          <w:sz w:val="32"/>
          <w:szCs w:val="32"/>
          <w:lang w:val="en-US" w:eastAsia="zh-CN"/>
        </w:rPr>
        <w:t>7</w:t>
      </w:r>
      <w:r>
        <w:rPr>
          <w:rFonts w:hint="eastAsia" w:ascii="仿宋_GB2312" w:hAnsi="仿宋_GB2312" w:eastAsia="仿宋_GB2312"/>
          <w:sz w:val="32"/>
          <w:szCs w:val="32"/>
        </w:rPr>
        <w:t xml:space="preserve"> 应对其认证活动的公正性负责，不允许商业、财务或其他压力损害公正性。如：不得将申请认证的组织（以下简称“认证委托人”）是否获得认证与参与认证审核的审核员及其他人员的薪酬挂钩。</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w:t>
      </w:r>
      <w:r>
        <w:rPr>
          <w:rFonts w:hint="eastAsia"/>
          <w:sz w:val="32"/>
          <w:szCs w:val="32"/>
          <w:lang w:val="en-US" w:eastAsia="zh-CN"/>
        </w:rPr>
        <w:t>8</w:t>
      </w:r>
      <w:r>
        <w:rPr>
          <w:rFonts w:hint="eastAsia" w:ascii="仿宋_GB2312" w:hAnsi="仿宋_GB2312" w:eastAsia="仿宋_GB2312"/>
          <w:sz w:val="32"/>
          <w:szCs w:val="32"/>
        </w:rPr>
        <w:t xml:space="preserve"> 对认证活动中所知悉的国家秘密、商业秘密负有保密义务。应通过在法律上具有强制实施力的协议，确保认证活动中所获得的信息在未经认证委托人书面同意的情况下，不向第三方透漏</w:t>
      </w:r>
      <w:r>
        <w:rPr>
          <w:rFonts w:hint="eastAsia"/>
          <w:lang w:eastAsia="zh-CN"/>
        </w:rPr>
        <w:t>，</w:t>
      </w:r>
      <w:r>
        <w:rPr>
          <w:rFonts w:hint="eastAsia"/>
          <w:lang w:val="en-US" w:eastAsia="zh-CN"/>
        </w:rPr>
        <w:t>认证行政</w:t>
      </w:r>
      <w:r>
        <w:rPr>
          <w:rFonts w:hint="eastAsia" w:ascii="仿宋_GB2312" w:hAnsi="仿宋_GB2312" w:eastAsia="仿宋_GB2312"/>
          <w:sz w:val="32"/>
          <w:szCs w:val="32"/>
        </w:rPr>
        <w:t>监管有要求的除外。</w:t>
      </w:r>
    </w:p>
    <w:p>
      <w:pPr>
        <w:autoSpaceDE/>
        <w:autoSpaceDN/>
        <w:adjustRightInd/>
        <w:snapToGrid/>
        <w:spacing w:line="240" w:lineRule="auto"/>
        <w:ind w:firstLine="640" w:firstLineChars="200"/>
        <w:rPr>
          <w:rFonts w:hint="eastAsia" w:ascii="仿宋_GB2312" w:hAnsi="仿宋_GB2312" w:eastAsia="仿宋_GB2312"/>
          <w:i w:val="0"/>
          <w:iCs w:val="0"/>
          <w:sz w:val="24"/>
          <w:szCs w:val="32"/>
        </w:rPr>
      </w:pPr>
      <w:r>
        <w:rPr>
          <w:rFonts w:hint="eastAsia" w:ascii="仿宋_GB2312" w:hAnsi="仿宋_GB2312" w:eastAsia="仿宋_GB2312"/>
          <w:sz w:val="32"/>
          <w:szCs w:val="32"/>
        </w:rPr>
        <w:t>3.</w:t>
      </w:r>
      <w:bookmarkStart w:id="20" w:name="_Toc171603615"/>
      <w:r>
        <w:rPr>
          <w:rFonts w:hint="eastAsia"/>
          <w:sz w:val="32"/>
          <w:szCs w:val="32"/>
          <w:lang w:val="en-US" w:eastAsia="zh-CN"/>
        </w:rPr>
        <w:t>9</w:t>
      </w:r>
      <w:r>
        <w:rPr>
          <w:rFonts w:hint="eastAsia" w:ascii="仿宋_GB2312" w:hAnsi="仿宋_GB2312" w:eastAsia="仿宋_GB2312"/>
          <w:sz w:val="32"/>
          <w:szCs w:val="32"/>
        </w:rPr>
        <w:t xml:space="preserve"> 应对QMS认证活动的真实性、有效性负责，加强认证人员的管理及素质、能力提升，合理安排审核员的工作量。每个审核员参加包括QMS在内的管理体系现场审核时间的总和不</w:t>
      </w:r>
      <w:r>
        <w:rPr>
          <w:rFonts w:hint="default" w:ascii="仿宋_GB2312" w:hAnsi="仿宋_GB2312" w:eastAsia="仿宋_GB2312"/>
          <w:sz w:val="32"/>
          <w:szCs w:val="32"/>
        </w:rPr>
        <w:t>应</w:t>
      </w:r>
      <w:r>
        <w:rPr>
          <w:rFonts w:hint="eastAsia" w:ascii="仿宋_GB2312" w:hAnsi="仿宋_GB2312" w:eastAsia="仿宋_GB2312"/>
          <w:sz w:val="32"/>
          <w:szCs w:val="32"/>
        </w:rPr>
        <w:t>超过180</w:t>
      </w:r>
      <w:r>
        <w:rPr>
          <w:rFonts w:hint="default" w:ascii="仿宋_GB2312" w:hAnsi="仿宋_GB2312" w:eastAsia="仿宋_GB2312"/>
          <w:sz w:val="32"/>
          <w:szCs w:val="32"/>
        </w:rPr>
        <w:t>天</w:t>
      </w:r>
      <w:r>
        <w:rPr>
          <w:rFonts w:hint="eastAsia" w:ascii="仿宋_GB2312" w:hAnsi="仿宋_GB2312" w:eastAsia="仿宋_GB2312"/>
          <w:sz w:val="32"/>
          <w:szCs w:val="32"/>
        </w:rPr>
        <w:t>/</w:t>
      </w:r>
      <w:r>
        <w:rPr>
          <w:rFonts w:hint="eastAsia"/>
          <w:sz w:val="32"/>
          <w:szCs w:val="32"/>
          <w:lang w:eastAsia="zh-CN"/>
        </w:rPr>
        <w:t>周期</w:t>
      </w:r>
      <w:r>
        <w:rPr>
          <w:rFonts w:hint="eastAsia" w:ascii="仿宋_GB2312" w:hAnsi="仿宋_GB2312" w:eastAsia="仿宋_GB2312"/>
          <w:sz w:val="32"/>
          <w:szCs w:val="32"/>
        </w:rPr>
        <w:t>年。</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3.1</w:t>
      </w:r>
      <w:r>
        <w:rPr>
          <w:rFonts w:hint="eastAsia"/>
          <w:sz w:val="32"/>
          <w:szCs w:val="32"/>
          <w:lang w:val="en-US" w:eastAsia="zh-CN"/>
        </w:rPr>
        <w:t>0</w:t>
      </w:r>
      <w:r>
        <w:rPr>
          <w:rFonts w:hint="eastAsia" w:ascii="仿宋_GB2312" w:hAnsi="仿宋_GB2312" w:eastAsia="仿宋_GB2312"/>
          <w:sz w:val="32"/>
          <w:szCs w:val="32"/>
        </w:rPr>
        <w:t xml:space="preserve"> 认证机构拥有的QMS有效</w:t>
      </w:r>
      <w:r>
        <w:rPr>
          <w:rFonts w:hint="default" w:ascii="仿宋_GB2312" w:hAnsi="仿宋_GB2312" w:eastAsia="仿宋_GB2312"/>
          <w:sz w:val="32"/>
          <w:szCs w:val="32"/>
        </w:rPr>
        <w:t>认证</w:t>
      </w:r>
      <w:r>
        <w:rPr>
          <w:rFonts w:hint="eastAsia" w:ascii="仿宋_GB2312" w:hAnsi="仿宋_GB2312" w:eastAsia="仿宋_GB2312"/>
          <w:sz w:val="32"/>
          <w:szCs w:val="32"/>
        </w:rPr>
        <w:t>证书的数量应与该机构QMS审核员数量相匹配，人均每个审核员匹配的包括QMS在内的管理体系有效认证证书总数不应超过50张/</w:t>
      </w:r>
      <w:r>
        <w:rPr>
          <w:rFonts w:hint="eastAsia"/>
          <w:sz w:val="32"/>
          <w:szCs w:val="32"/>
          <w:lang w:eastAsia="zh-CN"/>
        </w:rPr>
        <w:t>周期</w:t>
      </w:r>
      <w:r>
        <w:rPr>
          <w:rFonts w:hint="eastAsia" w:ascii="仿宋_GB2312" w:hAnsi="仿宋_GB2312" w:eastAsia="仿宋_GB2312"/>
          <w:sz w:val="32"/>
          <w:szCs w:val="32"/>
        </w:rPr>
        <w:t>年。</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3.1</w:t>
      </w:r>
      <w:r>
        <w:rPr>
          <w:rFonts w:hint="eastAsia"/>
          <w:sz w:val="32"/>
          <w:szCs w:val="32"/>
          <w:lang w:val="en-US" w:eastAsia="zh-CN"/>
        </w:rPr>
        <w:t>1</w:t>
      </w:r>
      <w:r>
        <w:rPr>
          <w:rFonts w:hint="default" w:ascii="仿宋_GB2312" w:hAnsi="仿宋_GB2312" w:eastAsia="仿宋_GB2312"/>
          <w:sz w:val="32"/>
          <w:szCs w:val="32"/>
        </w:rPr>
        <w:t xml:space="preserve"> 不得委派未取得QMS注册资格的</w:t>
      </w:r>
      <w:r>
        <w:rPr>
          <w:rFonts w:hint="default" w:ascii="仿宋_GB2312" w:hAnsi="仿宋_GB2312" w:eastAsia="仿宋_GB2312"/>
          <w:sz w:val="32"/>
          <w:szCs w:val="32"/>
          <w:highlight w:val="none"/>
        </w:rPr>
        <w:t>审核员</w:t>
      </w:r>
      <w:r>
        <w:rPr>
          <w:rFonts w:hint="default" w:ascii="仿宋_GB2312" w:hAnsi="仿宋_GB2312" w:eastAsia="仿宋_GB2312"/>
          <w:sz w:val="32"/>
          <w:szCs w:val="32"/>
        </w:rPr>
        <w:t>开展QMS认证审核活动。</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3.1</w:t>
      </w:r>
      <w:r>
        <w:rPr>
          <w:rFonts w:hint="eastAsia"/>
          <w:sz w:val="32"/>
          <w:szCs w:val="32"/>
          <w:lang w:val="en-US" w:eastAsia="zh-CN"/>
        </w:rPr>
        <w:t>2</w:t>
      </w:r>
      <w:r>
        <w:rPr>
          <w:rFonts w:hint="default" w:ascii="仿宋_GB2312" w:hAnsi="仿宋_GB2312" w:eastAsia="仿宋_GB2312"/>
          <w:sz w:val="32"/>
          <w:szCs w:val="32"/>
        </w:rPr>
        <w:t xml:space="preserve"> 不得以“认证证书</w:t>
      </w:r>
      <w:r>
        <w:rPr>
          <w:rFonts w:hint="eastAsia"/>
          <w:lang w:val="en-US" w:eastAsia="zh-CN"/>
        </w:rPr>
        <w:t>在</w:t>
      </w:r>
      <w:r>
        <w:rPr>
          <w:rFonts w:hint="default" w:ascii="仿宋_GB2312" w:hAnsi="仿宋_GB2312" w:eastAsia="仿宋_GB2312"/>
          <w:sz w:val="32"/>
          <w:szCs w:val="32"/>
        </w:rPr>
        <w:t>国家认监委网站可查”或近似表述进行广告宣传。</w:t>
      </w:r>
    </w:p>
    <w:p>
      <w:pPr>
        <w:pStyle w:val="47"/>
        <w:autoSpaceDE w:val="0"/>
        <w:autoSpaceDN w:val="0"/>
        <w:adjustRightInd w:val="0"/>
        <w:snapToGrid w:val="0"/>
        <w:ind w:firstLine="624" w:firstLineChars="0"/>
      </w:pPr>
      <w:bookmarkStart w:id="21" w:name="_Toc2627"/>
      <w:bookmarkStart w:id="22" w:name="_Toc24076"/>
      <w:bookmarkStart w:id="23" w:name="_Toc8347"/>
      <w:bookmarkStart w:id="24" w:name="_Toc15769"/>
      <w:r>
        <w:rPr>
          <w:rFonts w:hint="eastAsia"/>
          <w:lang w:val="en-US" w:eastAsia="zh-CN"/>
        </w:rPr>
        <w:t xml:space="preserve"> </w:t>
      </w:r>
      <w:r>
        <w:t>对认证人员的基本要求</w:t>
      </w:r>
      <w:bookmarkEnd w:id="20"/>
      <w:bookmarkEnd w:id="21"/>
      <w:bookmarkEnd w:id="22"/>
      <w:bookmarkEnd w:id="23"/>
      <w:bookmarkEnd w:id="24"/>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4.1 遵守认证认可相关法律法规、部门规章及规范性文件的要求，具有从事认证工作的基本职业操守，对认证活动及其结果的真实性</w:t>
      </w:r>
      <w:r>
        <w:rPr>
          <w:rFonts w:hint="eastAsia"/>
          <w:sz w:val="32"/>
          <w:szCs w:val="32"/>
          <w:lang w:val="en-US" w:eastAsia="zh-CN"/>
        </w:rPr>
        <w:t>和有效性</w:t>
      </w:r>
      <w:r>
        <w:rPr>
          <w:rFonts w:hint="eastAsia" w:ascii="仿宋_GB2312" w:hAnsi="仿宋_GB2312" w:eastAsia="仿宋_GB2312"/>
          <w:sz w:val="32"/>
          <w:szCs w:val="32"/>
        </w:rPr>
        <w:t>承担相应责任。</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4.2 审核员应取得国家认监委确定的认证人员注册机构批准的QMS审核员注册资格。</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 xml:space="preserve">4.3 </w:t>
      </w:r>
      <w:r>
        <w:rPr>
          <w:rFonts w:hint="default" w:ascii="仿宋_GB2312" w:hAnsi="仿宋_GB2312" w:eastAsia="仿宋_GB2312"/>
          <w:sz w:val="32"/>
          <w:szCs w:val="32"/>
          <w:highlight w:val="none"/>
        </w:rPr>
        <w:t>审核员不得接受超出其注册资格的认证审核任务。</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 xml:space="preserve">4.4 </w:t>
      </w:r>
      <w:r>
        <w:rPr>
          <w:rFonts w:hint="eastAsia" w:ascii="仿宋_GB2312" w:hAnsi="仿宋_GB2312" w:eastAsia="仿宋_GB2312"/>
          <w:sz w:val="32"/>
          <w:szCs w:val="32"/>
        </w:rPr>
        <w:t>不得发生影响认证公正性的行为，应主动告知认证机构</w:t>
      </w:r>
      <w:r>
        <w:rPr>
          <w:rFonts w:hint="eastAsia"/>
          <w:sz w:val="32"/>
          <w:szCs w:val="32"/>
          <w:lang w:eastAsia="zh-CN"/>
        </w:rPr>
        <w:t>其</w:t>
      </w:r>
      <w:r>
        <w:rPr>
          <w:rFonts w:hint="eastAsia" w:ascii="仿宋_GB2312" w:hAnsi="仿宋_GB2312" w:eastAsia="仿宋_GB2312"/>
          <w:sz w:val="32"/>
          <w:szCs w:val="32"/>
        </w:rPr>
        <w:t>所了解的任何可能使</w:t>
      </w:r>
      <w:r>
        <w:rPr>
          <w:rFonts w:hint="eastAsia"/>
          <w:sz w:val="32"/>
          <w:szCs w:val="32"/>
          <w:lang w:val="en-US" w:eastAsia="zh-CN"/>
        </w:rPr>
        <w:t>本人</w:t>
      </w:r>
      <w:r>
        <w:rPr>
          <w:rFonts w:hint="eastAsia" w:ascii="仿宋_GB2312" w:hAnsi="仿宋_GB2312" w:eastAsia="仿宋_GB2312"/>
          <w:sz w:val="32"/>
          <w:szCs w:val="32"/>
        </w:rPr>
        <w:t>或认证机构陷入利益冲突的情况。因认证人员未履行告知义务而导致非公正性认证结果的，认证人员应当负有连带责任（如承担因此造成的经济损失）。</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4.</w:t>
      </w:r>
      <w:r>
        <w:rPr>
          <w:rFonts w:hint="default" w:ascii="仿宋_GB2312" w:hAnsi="仿宋_GB2312" w:eastAsia="仿宋_GB2312"/>
          <w:sz w:val="32"/>
          <w:szCs w:val="32"/>
        </w:rPr>
        <w:t>5</w:t>
      </w:r>
      <w:r>
        <w:rPr>
          <w:rFonts w:hint="eastAsia" w:ascii="仿宋_GB2312" w:hAnsi="仿宋_GB2312" w:eastAsia="仿宋_GB2312"/>
          <w:sz w:val="32"/>
          <w:szCs w:val="32"/>
        </w:rPr>
        <w:t xml:space="preserve"> 按要求接受人员注册/保持注册所要求的继续教育培训，以及</w:t>
      </w:r>
      <w:r>
        <w:rPr>
          <w:rFonts w:hint="eastAsia"/>
          <w:sz w:val="32"/>
          <w:szCs w:val="32"/>
          <w:lang w:val="en-US" w:eastAsia="zh-CN"/>
        </w:rPr>
        <w:t>认证</w:t>
      </w:r>
      <w:r>
        <w:rPr>
          <w:rFonts w:hint="eastAsia" w:ascii="仿宋_GB2312" w:hAnsi="仿宋_GB2312" w:eastAsia="仿宋_GB2312"/>
          <w:sz w:val="32"/>
          <w:szCs w:val="32"/>
        </w:rPr>
        <w:t>机构要求的能力（包括知识和技能）提升活动，以持续具备从事QMS认证工作相适宜的能力。</w:t>
      </w:r>
    </w:p>
    <w:p>
      <w:pPr>
        <w:pStyle w:val="47"/>
        <w:autoSpaceDE w:val="0"/>
        <w:autoSpaceDN w:val="0"/>
        <w:adjustRightInd w:val="0"/>
        <w:snapToGrid w:val="0"/>
        <w:ind w:firstLine="624"/>
        <w:outlineLvl w:val="0"/>
      </w:pPr>
      <w:bookmarkStart w:id="25" w:name="_Toc2171"/>
      <w:bookmarkStart w:id="26" w:name="_Toc2217"/>
      <w:bookmarkStart w:id="27" w:name="_Toc171603616"/>
      <w:r>
        <w:rPr>
          <w:rFonts w:hint="eastAsia"/>
          <w:lang w:val="en-US" w:eastAsia="zh-CN"/>
        </w:rPr>
        <w:t xml:space="preserve"> </w:t>
      </w:r>
      <w:r>
        <w:t>认证程序</w:t>
      </w:r>
      <w:bookmarkEnd w:id="25"/>
      <w:bookmarkEnd w:id="26"/>
      <w:bookmarkEnd w:id="27"/>
    </w:p>
    <w:p>
      <w:pPr>
        <w:pStyle w:val="3"/>
        <w:autoSpaceDE w:val="0"/>
        <w:autoSpaceDN w:val="0"/>
        <w:adjustRightInd w:val="0"/>
        <w:snapToGrid w:val="0"/>
        <w:outlineLvl w:val="1"/>
      </w:pPr>
      <w:bookmarkStart w:id="28" w:name="_Toc26216"/>
      <w:bookmarkStart w:id="29" w:name="_Toc23649"/>
      <w:bookmarkStart w:id="30" w:name="_Toc21418"/>
      <w:bookmarkStart w:id="31" w:name="_Toc171603617"/>
      <w:bookmarkStart w:id="32" w:name="_Toc28835"/>
      <w:r>
        <w:t>5.1 认证申请</w:t>
      </w:r>
      <w:bookmarkEnd w:id="28"/>
      <w:bookmarkEnd w:id="29"/>
      <w:bookmarkEnd w:id="30"/>
      <w:bookmarkEnd w:id="31"/>
      <w:bookmarkEnd w:id="32"/>
    </w:p>
    <w:p>
      <w:pPr>
        <w:autoSpaceDE/>
        <w:autoSpaceDN/>
        <w:adjustRightInd/>
        <w:snapToGrid/>
        <w:spacing w:line="240" w:lineRule="auto"/>
        <w:ind w:firstLine="640" w:firstLineChars="200"/>
        <w:outlineLvl w:val="9"/>
        <w:rPr>
          <w:rFonts w:hint="eastAsia" w:ascii="仿宋_GB2312" w:hAnsi="仿宋_GB2312" w:eastAsia="仿宋_GB2312"/>
          <w:sz w:val="32"/>
          <w:szCs w:val="32"/>
        </w:rPr>
      </w:pPr>
      <w:bookmarkStart w:id="33" w:name="_Toc170821758"/>
      <w:bookmarkStart w:id="34" w:name="_Toc24288"/>
      <w:bookmarkStart w:id="35" w:name="_Toc171603618"/>
      <w:bookmarkStart w:id="36" w:name="_Toc170821685"/>
      <w:bookmarkStart w:id="37" w:name="_Toc1136"/>
      <w:bookmarkStart w:id="38" w:name="_Toc31559"/>
      <w:r>
        <w:rPr>
          <w:rFonts w:hint="eastAsia" w:ascii="仿宋_GB2312" w:hAnsi="仿宋_GB2312" w:eastAsia="仿宋_GB2312"/>
          <w:sz w:val="32"/>
          <w:szCs w:val="32"/>
        </w:rPr>
        <w:t>5.1.1 认证机构应向认证委托人至少公开以下信息：</w:t>
      </w:r>
      <w:bookmarkEnd w:id="33"/>
      <w:bookmarkEnd w:id="34"/>
      <w:bookmarkEnd w:id="35"/>
      <w:bookmarkEnd w:id="36"/>
      <w:bookmarkEnd w:id="37"/>
      <w:bookmarkEnd w:id="38"/>
    </w:p>
    <w:p>
      <w:pPr>
        <w:autoSpaceDE w:val="0"/>
        <w:autoSpaceDN w:val="0"/>
        <w:adjustRightInd w:val="0"/>
        <w:snapToGrid w:val="0"/>
        <w:rPr>
          <w:rFonts w:hint="eastAsia" w:ascii="仿宋_GB2312" w:hAnsi="仿宋_GB2312" w:eastAsia="仿宋_GB2312"/>
          <w:sz w:val="32"/>
          <w:szCs w:val="32"/>
        </w:rPr>
      </w:pPr>
      <w:r>
        <w:rPr>
          <w:rFonts w:hint="eastAsia" w:ascii="仿宋_GB2312" w:hAnsi="仿宋_GB2312" w:eastAsia="仿宋_GB2312"/>
          <w:sz w:val="32"/>
          <w:szCs w:val="32"/>
        </w:rPr>
        <w:t>（1）可开展</w:t>
      </w:r>
      <w:r>
        <w:rPr>
          <w:rFonts w:hint="eastAsia"/>
          <w:sz w:val="32"/>
          <w:szCs w:val="32"/>
          <w:lang w:val="en-US" w:eastAsia="zh-CN"/>
        </w:rPr>
        <w:t>的</w:t>
      </w:r>
      <w:r>
        <w:rPr>
          <w:rFonts w:hint="eastAsia" w:ascii="仿宋_GB2312" w:hAnsi="仿宋_GB2312" w:eastAsia="仿宋_GB2312"/>
          <w:sz w:val="32"/>
          <w:szCs w:val="32"/>
        </w:rPr>
        <w:t>认证业务范围，获得认可的情况，以及分包境外认证机构业务的情况；</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（2）开展QMS认证活动所依据的认证标准以及相关的认证方案、认证流程；</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（3）授予、拒绝、保持、更新、暂停（恢复）</w:t>
      </w:r>
      <w:r>
        <w:rPr>
          <w:rFonts w:hint="default" w:ascii="仿宋_GB2312" w:hAnsi="仿宋_GB2312" w:eastAsia="仿宋_GB2312"/>
          <w:sz w:val="32"/>
          <w:szCs w:val="32"/>
          <w:lang w:eastAsia="zh-CN"/>
        </w:rPr>
        <w:t>、</w:t>
      </w:r>
      <w:r>
        <w:rPr>
          <w:rFonts w:hint="default" w:ascii="仿宋_GB2312" w:hAnsi="仿宋_GB2312" w:eastAsia="仿宋_GB2312"/>
          <w:sz w:val="32"/>
          <w:szCs w:val="32"/>
          <w:lang w:val="en-US" w:eastAsia="zh-CN"/>
        </w:rPr>
        <w:t>注销</w:t>
      </w:r>
      <w:r>
        <w:rPr>
          <w:rFonts w:hint="default" w:ascii="仿宋_GB2312" w:hAnsi="仿宋_GB2312" w:eastAsia="仿宋_GB2312" w:cs="仿宋_GB2312"/>
          <w:sz w:val="32"/>
          <w:szCs w:val="32"/>
          <w:highlight w:val="none"/>
          <w:lang w:eastAsia="zh-CN"/>
        </w:rPr>
        <w:t>、</w:t>
      </w:r>
      <w:r>
        <w:rPr>
          <w:rFonts w:hint="eastAsia" w:ascii="仿宋_GB2312" w:hAnsi="仿宋_GB2312" w:eastAsia="仿宋_GB2312"/>
          <w:sz w:val="32"/>
          <w:szCs w:val="32"/>
        </w:rPr>
        <w:t>撤销认证</w:t>
      </w:r>
      <w:r>
        <w:rPr>
          <w:rFonts w:hint="default" w:ascii="仿宋_GB2312" w:hAnsi="仿宋_GB2312" w:eastAsia="仿宋_GB2312" w:cs="仿宋_GB2312"/>
          <w:sz w:val="32"/>
          <w:szCs w:val="32"/>
          <w:lang w:val="en-US" w:eastAsia="zh-CN"/>
        </w:rPr>
        <w:t>证书</w:t>
      </w:r>
      <w:r>
        <w:rPr>
          <w:rFonts w:hint="eastAsia" w:ascii="仿宋_GB2312" w:hAnsi="仿宋_GB2312" w:eastAsia="仿宋_GB2312"/>
          <w:sz w:val="32"/>
          <w:szCs w:val="32"/>
        </w:rPr>
        <w:t>以及扩大或缩小认证范围的程序规定；</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（4）拟向</w:t>
      </w:r>
      <w:r>
        <w:rPr>
          <w:rFonts w:hint="default" w:ascii="仿宋_GB2312" w:hAnsi="仿宋_GB2312" w:eastAsia="仿宋_GB2312"/>
          <w:sz w:val="32"/>
          <w:szCs w:val="32"/>
        </w:rPr>
        <w:t>认证委托人</w:t>
      </w:r>
      <w:r>
        <w:rPr>
          <w:rFonts w:hint="eastAsia" w:ascii="仿宋_GB2312" w:hAnsi="仿宋_GB2312" w:eastAsia="仿宋_GB2312"/>
          <w:sz w:val="32"/>
          <w:szCs w:val="32"/>
        </w:rPr>
        <w:t>获取的信息以及保密规定；</w:t>
      </w:r>
    </w:p>
    <w:p>
      <w:pPr>
        <w:autoSpaceDE w:val="0"/>
        <w:autoSpaceDN w:val="0"/>
        <w:adjustRightInd w:val="0"/>
        <w:snapToGrid w:val="0"/>
        <w:rPr>
          <w:rFonts w:hint="eastAsia" w:ascii="仿宋_GB2312" w:hAnsi="仿宋_GB2312" w:eastAsia="仿宋_GB2312"/>
          <w:sz w:val="32"/>
          <w:szCs w:val="32"/>
        </w:rPr>
      </w:pPr>
      <w:r>
        <w:rPr>
          <w:rFonts w:hint="eastAsia" w:ascii="仿宋_GB2312" w:hAnsi="仿宋_GB2312" w:eastAsia="仿宋_GB2312"/>
          <w:sz w:val="32"/>
          <w:szCs w:val="32"/>
        </w:rPr>
        <w:t>（5）认证收费标准；</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（6）认证证书、认证标志及相关的使用规定；</w:t>
      </w:r>
    </w:p>
    <w:p>
      <w:pPr>
        <w:autoSpaceDE w:val="0"/>
        <w:autoSpaceDN w:val="0"/>
        <w:adjustRightInd w:val="0"/>
        <w:snapToGrid w:val="0"/>
        <w:rPr>
          <w:rFonts w:hint="eastAsia" w:ascii="仿宋_GB2312" w:hAnsi="仿宋_GB2312" w:eastAsia="仿宋_GB2312"/>
          <w:sz w:val="32"/>
          <w:szCs w:val="32"/>
        </w:rPr>
      </w:pPr>
      <w:r>
        <w:rPr>
          <w:rFonts w:hint="eastAsia" w:ascii="仿宋_GB2312" w:hAnsi="仿宋_GB2312" w:eastAsia="仿宋_GB2312"/>
          <w:sz w:val="32"/>
          <w:szCs w:val="32"/>
        </w:rPr>
        <w:t>（7）对认证过程和结果的申诉、投诉规定；</w:t>
      </w:r>
    </w:p>
    <w:p>
      <w:pPr>
        <w:autoSpaceDE/>
        <w:autoSpaceDN/>
        <w:adjustRightInd/>
        <w:snapToGrid/>
        <w:spacing w:line="240" w:lineRule="auto"/>
        <w:ind w:firstLine="640" w:firstLineChars="200"/>
        <w:rPr>
          <w:rFonts w:hint="eastAsia" w:ascii="仿宋_GB2312" w:hAnsi="仿宋_GB2312" w:eastAsia="仿宋_GB2312"/>
          <w:sz w:val="32"/>
          <w:szCs w:val="32"/>
        </w:rPr>
      </w:pPr>
      <w:bookmarkStart w:id="39" w:name="_Hlk156405466"/>
      <w:r>
        <w:rPr>
          <w:rFonts w:hint="eastAsia" w:ascii="仿宋_GB2312" w:hAnsi="仿宋_GB2312" w:eastAsia="仿宋_GB2312"/>
          <w:sz w:val="32"/>
          <w:szCs w:val="32"/>
        </w:rPr>
        <w:t>（8）认证标准换版的规定</w:t>
      </w:r>
      <w:bookmarkEnd w:id="39"/>
      <w:r>
        <w:rPr>
          <w:rFonts w:hint="default" w:ascii="仿宋_GB2312" w:hAnsi="仿宋_GB2312" w:eastAsia="仿宋_GB2312"/>
          <w:sz w:val="32"/>
          <w:szCs w:val="32"/>
        </w:rPr>
        <w:t>（适用时）</w:t>
      </w:r>
      <w:r>
        <w:rPr>
          <w:rFonts w:hint="eastAsia" w:ascii="仿宋_GB2312" w:hAnsi="仿宋_GB2312" w:eastAsia="仿宋_GB2312"/>
          <w:sz w:val="32"/>
          <w:szCs w:val="32"/>
        </w:rPr>
        <w:t>；</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（9）“提前较短时间通知的审核”的情形；</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w:t>
      </w:r>
      <w:r>
        <w:rPr>
          <w:rFonts w:hint="default" w:ascii="仿宋_GB2312" w:hAnsi="仿宋_GB2312" w:eastAsia="仿宋_GB2312"/>
          <w:sz w:val="32"/>
          <w:szCs w:val="32"/>
        </w:rPr>
        <w:t>10</w:t>
      </w:r>
      <w:r>
        <w:rPr>
          <w:rFonts w:hint="eastAsia" w:ascii="仿宋_GB2312" w:hAnsi="仿宋_GB2312" w:eastAsia="仿宋_GB2312"/>
          <w:sz w:val="32"/>
          <w:szCs w:val="32"/>
        </w:rPr>
        <w:t>）其他需要公开的信息。</w:t>
      </w:r>
    </w:p>
    <w:p>
      <w:pPr>
        <w:overflowPunct/>
        <w:autoSpaceDE/>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5.1.2 提出认证申请时，认证委托人应具备以下条件：</w:t>
      </w:r>
    </w:p>
    <w:p>
      <w:pPr>
        <w:overflowPunct w:val="0"/>
        <w:autoSpaceDE w:val="0"/>
        <w:adjustRightInd w:val="0"/>
        <w:snapToGrid w:val="0"/>
        <w:rPr>
          <w:rFonts w:hint="eastAsia" w:ascii="仿宋_GB2312" w:hAnsi="仿宋_GB2312" w:eastAsia="仿宋_GB2312"/>
          <w:sz w:val="32"/>
          <w:szCs w:val="32"/>
        </w:rPr>
      </w:pPr>
      <w:r>
        <w:rPr>
          <w:rFonts w:hint="eastAsia" w:ascii="仿宋_GB2312" w:hAnsi="仿宋_GB2312" w:eastAsia="仿宋_GB2312"/>
          <w:sz w:val="32"/>
          <w:szCs w:val="32"/>
        </w:rPr>
        <w:t>（1）取得</w:t>
      </w:r>
      <w:bookmarkStart w:id="40" w:name="OLE_LINK3"/>
      <w:r>
        <w:rPr>
          <w:rFonts w:hint="default" w:ascii="仿宋_GB2312" w:hAnsi="仿宋_GB2312" w:eastAsia="仿宋_GB2312"/>
          <w:sz w:val="32"/>
          <w:szCs w:val="32"/>
        </w:rPr>
        <w:t>合法主体</w:t>
      </w:r>
      <w:r>
        <w:rPr>
          <w:rFonts w:hint="eastAsia" w:ascii="仿宋_GB2312" w:hAnsi="仿宋_GB2312" w:eastAsia="仿宋_GB2312"/>
          <w:sz w:val="32"/>
          <w:szCs w:val="32"/>
        </w:rPr>
        <w:t>资格</w:t>
      </w:r>
      <w:bookmarkEnd w:id="40"/>
      <w:r>
        <w:rPr>
          <w:rFonts w:hint="default" w:ascii="仿宋_GB2312" w:hAnsi="仿宋_GB2312" w:eastAsia="仿宋_GB2312"/>
          <w:sz w:val="32"/>
          <w:szCs w:val="32"/>
          <w:lang w:eastAsia="zh-CN"/>
        </w:rPr>
        <w:t>，</w:t>
      </w:r>
      <w:r>
        <w:rPr>
          <w:rFonts w:hint="default" w:ascii="仿宋_GB2312" w:hAnsi="仿宋_GB2312" w:eastAsia="仿宋_GB2312"/>
          <w:sz w:val="32"/>
          <w:szCs w:val="32"/>
          <w:lang w:val="en-US" w:eastAsia="zh-CN"/>
        </w:rPr>
        <w:t>并处于有效期内</w:t>
      </w:r>
      <w:r>
        <w:rPr>
          <w:rFonts w:hint="eastAsia" w:ascii="仿宋_GB2312" w:hAnsi="仿宋_GB2312" w:eastAsia="仿宋_GB2312"/>
          <w:sz w:val="32"/>
          <w:szCs w:val="32"/>
        </w:rPr>
        <w:t>；</w:t>
      </w:r>
    </w:p>
    <w:p>
      <w:pPr>
        <w:adjustRightInd w:val="0"/>
        <w:snapToGrid w:val="0"/>
        <w:rPr>
          <w:rFonts w:hint="eastAsia" w:ascii="仿宋_GB2312" w:hAnsi="仿宋_GB2312" w:eastAsia="仿宋_GB2312"/>
          <w:sz w:val="32"/>
          <w:szCs w:val="32"/>
        </w:rPr>
      </w:pPr>
      <w:r>
        <w:rPr>
          <w:rFonts w:hint="eastAsia" w:ascii="仿宋_GB2312" w:hAnsi="仿宋_GB2312" w:eastAsia="仿宋_GB2312"/>
          <w:sz w:val="32"/>
          <w:szCs w:val="32"/>
        </w:rPr>
        <w:t>（2）取得相关</w:t>
      </w:r>
      <w:r>
        <w:rPr>
          <w:rFonts w:hint="default" w:ascii="仿宋_GB2312" w:hAnsi="仿宋_GB2312" w:eastAsia="仿宋_GB2312"/>
          <w:sz w:val="32"/>
          <w:szCs w:val="32"/>
        </w:rPr>
        <w:t>法律</w:t>
      </w:r>
      <w:r>
        <w:rPr>
          <w:rFonts w:hint="eastAsia" w:ascii="仿宋_GB2312" w:hAnsi="仿宋_GB2312" w:eastAsia="仿宋_GB2312"/>
          <w:sz w:val="32"/>
          <w:szCs w:val="32"/>
        </w:rPr>
        <w:t>法规规定的行政许可（适用时）</w:t>
      </w:r>
      <w:r>
        <w:rPr>
          <w:rFonts w:hint="default" w:ascii="仿宋_GB2312" w:hAnsi="仿宋_GB2312" w:eastAsia="仿宋_GB2312"/>
          <w:sz w:val="32"/>
          <w:szCs w:val="32"/>
          <w:lang w:eastAsia="zh-CN"/>
        </w:rPr>
        <w:t>，</w:t>
      </w:r>
      <w:r>
        <w:rPr>
          <w:rFonts w:hint="default" w:ascii="仿宋_GB2312" w:hAnsi="仿宋_GB2312" w:eastAsia="仿宋_GB2312"/>
          <w:sz w:val="32"/>
          <w:szCs w:val="32"/>
          <w:lang w:val="en-US" w:eastAsia="zh-CN"/>
        </w:rPr>
        <w:t>并处于有效期内</w:t>
      </w:r>
      <w:r>
        <w:rPr>
          <w:rFonts w:hint="eastAsia" w:ascii="仿宋_GB2312" w:hAnsi="仿宋_GB2312" w:eastAsia="仿宋_GB2312"/>
          <w:sz w:val="32"/>
          <w:szCs w:val="32"/>
        </w:rPr>
        <w:t>；</w:t>
      </w:r>
    </w:p>
    <w:p>
      <w:pPr>
        <w:adjustRightInd w:val="0"/>
        <w:snapToGrid w:val="0"/>
        <w:rPr>
          <w:rFonts w:hint="eastAsia" w:ascii="仿宋_GB2312" w:hAnsi="仿宋_GB2312" w:eastAsia="仿宋_GB2312"/>
          <w:sz w:val="32"/>
          <w:szCs w:val="32"/>
        </w:rPr>
      </w:pPr>
      <w:r>
        <w:rPr>
          <w:rFonts w:hint="eastAsia" w:ascii="仿宋_GB2312" w:hAnsi="仿宋_GB2312" w:eastAsia="仿宋_GB2312"/>
          <w:sz w:val="32"/>
          <w:szCs w:val="32"/>
        </w:rPr>
        <w:t>（3）已按认证标准建立QMS，且运行满三个月；</w:t>
      </w:r>
    </w:p>
    <w:p>
      <w:pPr>
        <w:adjustRightInd w:val="0"/>
        <w:snapToGrid w:val="0"/>
        <w:rPr>
          <w:rFonts w:hint="eastAsia" w:ascii="仿宋_GB2312" w:hAnsi="仿宋_GB2312" w:eastAsia="仿宋_GB2312"/>
          <w:sz w:val="32"/>
          <w:szCs w:val="32"/>
        </w:rPr>
      </w:pPr>
      <w:r>
        <w:rPr>
          <w:rFonts w:hint="eastAsia" w:ascii="仿宋_GB2312" w:hAnsi="仿宋_GB2312" w:eastAsia="仿宋_GB2312"/>
          <w:sz w:val="32"/>
          <w:szCs w:val="32"/>
        </w:rPr>
        <w:t>（4）因获证组织自身原因被原发证机构暂停</w:t>
      </w:r>
      <w:r>
        <w:rPr>
          <w:rFonts w:hint="default" w:ascii="仿宋_GB2312" w:hAnsi="仿宋_GB2312" w:eastAsia="仿宋_GB2312"/>
          <w:sz w:val="32"/>
          <w:szCs w:val="32"/>
        </w:rPr>
        <w:t>或</w:t>
      </w:r>
      <w:r>
        <w:rPr>
          <w:rFonts w:hint="eastAsia" w:ascii="仿宋_GB2312" w:hAnsi="仿宋_GB2312" w:eastAsia="仿宋_GB2312"/>
          <w:sz w:val="32"/>
          <w:szCs w:val="32"/>
        </w:rPr>
        <w:t>撤销认证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已满一年（适用时）；</w:t>
      </w:r>
    </w:p>
    <w:p>
      <w:pPr>
        <w:adjustRightInd w:val="0"/>
        <w:snapToGrid w:val="0"/>
        <w:rPr>
          <w:rFonts w:hint="eastAsia" w:ascii="仿宋_GB2312" w:hAnsi="仿宋_GB2312" w:eastAsia="仿宋_GB2312"/>
          <w:sz w:val="32"/>
          <w:szCs w:val="32"/>
          <w:highlight w:val="none"/>
        </w:rPr>
      </w:pPr>
      <w:r>
        <w:rPr>
          <w:rFonts w:hint="default" w:ascii="仿宋_GB2312" w:hAnsi="仿宋_GB2312" w:eastAsia="仿宋_GB2312"/>
          <w:sz w:val="32"/>
          <w:szCs w:val="32"/>
          <w:highlight w:val="none"/>
        </w:rPr>
        <w:t>（5）原QMS认证证书发证机构被国家认监委撤销QMS认证资质已满三个月（适用时）；</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（6）</w:t>
      </w:r>
      <w:r>
        <w:rPr>
          <w:rFonts w:hint="eastAsia"/>
          <w:sz w:val="32"/>
          <w:szCs w:val="32"/>
          <w:lang w:val="en-US" w:eastAsia="zh-CN"/>
        </w:rPr>
        <w:t>当前</w:t>
      </w:r>
      <w:r>
        <w:rPr>
          <w:rFonts w:hint="eastAsia" w:ascii="仿宋_GB2312" w:hAnsi="仿宋_GB2312" w:eastAsia="仿宋_GB2312"/>
          <w:sz w:val="32"/>
          <w:szCs w:val="32"/>
        </w:rPr>
        <w:t>未被行政监管部门责令</w:t>
      </w:r>
      <w:r>
        <w:rPr>
          <w:rFonts w:hint="default" w:ascii="仿宋_GB2312" w:hAnsi="仿宋_GB2312" w:eastAsia="仿宋_GB2312" w:cs="仿宋_GB2312"/>
          <w:sz w:val="32"/>
          <w:szCs w:val="32"/>
          <w:lang w:val="en-US" w:eastAsia="zh-CN"/>
        </w:rPr>
        <w:t>停产</w:t>
      </w:r>
      <w:r>
        <w:rPr>
          <w:rFonts w:hint="default" w:ascii="仿宋_GB2312" w:hAnsi="仿宋_GB2312" w:eastAsia="仿宋_GB2312"/>
          <w:sz w:val="32"/>
          <w:szCs w:val="32"/>
        </w:rPr>
        <w:t>停业整顿</w:t>
      </w:r>
      <w:r>
        <w:rPr>
          <w:rFonts w:hint="eastAsia" w:ascii="仿宋_GB2312" w:hAnsi="仿宋_GB2312" w:eastAsia="仿宋_GB2312"/>
          <w:sz w:val="32"/>
          <w:szCs w:val="32"/>
        </w:rPr>
        <w:t>；</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（7）</w:t>
      </w:r>
      <w:r>
        <w:rPr>
          <w:rFonts w:hint="eastAsia"/>
          <w:sz w:val="32"/>
          <w:szCs w:val="32"/>
          <w:lang w:val="en-US" w:eastAsia="zh-CN"/>
        </w:rPr>
        <w:t>当前</w:t>
      </w:r>
      <w:r>
        <w:rPr>
          <w:rFonts w:hint="eastAsia" w:ascii="仿宋_GB2312" w:hAnsi="仿宋_GB2312" w:eastAsia="仿宋_GB2312"/>
          <w:sz w:val="32"/>
          <w:szCs w:val="32"/>
        </w:rPr>
        <w:t>未列入</w:t>
      </w:r>
      <w:r>
        <w:rPr>
          <w:rFonts w:hint="default" w:ascii="仿宋_GB2312" w:hAnsi="仿宋_GB2312" w:eastAsia="仿宋_GB2312"/>
          <w:sz w:val="32"/>
          <w:szCs w:val="32"/>
        </w:rPr>
        <w:t>“</w:t>
      </w:r>
      <w:r>
        <w:rPr>
          <w:rFonts w:hint="eastAsia" w:ascii="仿宋_GB2312" w:hAnsi="仿宋_GB2312" w:eastAsia="仿宋_GB2312"/>
          <w:sz w:val="32"/>
          <w:szCs w:val="32"/>
        </w:rPr>
        <w:t>国家企业信用信息公示系统</w:t>
      </w:r>
      <w:r>
        <w:rPr>
          <w:rFonts w:hint="default" w:ascii="仿宋_GB2312" w:hAnsi="仿宋_GB2312" w:eastAsia="仿宋_GB2312"/>
          <w:sz w:val="32"/>
          <w:szCs w:val="32"/>
        </w:rPr>
        <w:t>”</w:t>
      </w:r>
      <w:r>
        <w:rPr>
          <w:rFonts w:hint="eastAsia" w:ascii="仿宋_GB2312" w:hAnsi="仿宋_GB2312" w:eastAsia="仿宋_GB2312"/>
          <w:sz w:val="32"/>
          <w:szCs w:val="32"/>
        </w:rPr>
        <w:t>和“信用中国”发布的严重违法失信名单；</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（8）一年内未发生</w:t>
      </w:r>
      <w:r>
        <w:rPr>
          <w:rFonts w:hint="eastAsia"/>
          <w:lang w:val="en-US" w:eastAsia="zh-CN"/>
        </w:rPr>
        <w:t>被</w:t>
      </w:r>
      <w:r>
        <w:rPr>
          <w:rFonts w:hint="eastAsia" w:ascii="仿宋_GB2312" w:hAnsi="仿宋_GB2312" w:eastAsia="仿宋_GB2312"/>
          <w:sz w:val="32"/>
          <w:szCs w:val="32"/>
        </w:rPr>
        <w:t>行政监管部门责令</w:t>
      </w:r>
      <w:r>
        <w:rPr>
          <w:rFonts w:hint="eastAsia"/>
          <w:lang w:val="en-US" w:eastAsia="zh-CN"/>
        </w:rPr>
        <w:t>停产</w:t>
      </w:r>
      <w:r>
        <w:rPr>
          <w:rFonts w:hint="eastAsia"/>
        </w:rPr>
        <w:t>停业</w:t>
      </w:r>
      <w:r>
        <w:rPr>
          <w:rFonts w:hint="eastAsia" w:ascii="仿宋_GB2312" w:hAnsi="仿宋_GB2312" w:eastAsia="仿宋_GB2312"/>
          <w:sz w:val="32"/>
          <w:szCs w:val="32"/>
        </w:rPr>
        <w:t>整顿的重大质量事故；</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（9）一年内</w:t>
      </w:r>
      <w:r>
        <w:rPr>
          <w:rFonts w:hint="default" w:ascii="仿宋_GB2312" w:hAnsi="仿宋_GB2312" w:eastAsia="仿宋_GB2312"/>
          <w:sz w:val="32"/>
          <w:szCs w:val="32"/>
        </w:rPr>
        <w:t>申请认证范围内的产品</w:t>
      </w:r>
      <w:r>
        <w:rPr>
          <w:rFonts w:hint="eastAsia" w:ascii="仿宋_GB2312" w:hAnsi="仿宋_GB2312" w:eastAsia="仿宋_GB2312"/>
          <w:sz w:val="32"/>
          <w:szCs w:val="32"/>
        </w:rPr>
        <w:t>未发生产品质量国家监督抽查不合格，或发生产品质量国家监督抽查不合格但已按相关规定整改合格；</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（10）其他应具备的条件。</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5.1.3 认证机构应要求认证委托人提供以下信息和文件资料：</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（1）认证申请，包括认证委托人的名称、地址、认证</w:t>
      </w:r>
      <w:r>
        <w:rPr>
          <w:rFonts w:hint="eastAsia"/>
          <w:lang w:val="en-US" w:eastAsia="zh-CN"/>
        </w:rPr>
        <w:t>依据的</w:t>
      </w:r>
      <w:r>
        <w:rPr>
          <w:rFonts w:hint="eastAsia" w:ascii="仿宋_GB2312" w:hAnsi="仿宋_GB2312" w:eastAsia="仿宋_GB2312"/>
          <w:sz w:val="32"/>
          <w:szCs w:val="32"/>
        </w:rPr>
        <w:t>标准、申请的认证范围、认证范围内人员数量及影响体系有效性的外包过程；</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（2）法律地位的证明文件，当QMS覆盖多个法律实体时，应提供每个法律实体的法律地位证明文件；</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（3）申请认证范围所涉及的质量法律法规要求的行政许可文件、资质证书、强制性产品认证证书等；</w:t>
      </w:r>
    </w:p>
    <w:p>
      <w:pPr>
        <w:autoSpaceDE/>
        <w:autoSpaceDN/>
        <w:adjustRightInd/>
        <w:snapToGrid/>
        <w:spacing w:line="240" w:lineRule="auto"/>
        <w:ind w:firstLine="640" w:firstLineChars="200"/>
        <w:rPr>
          <w:rFonts w:hint="eastAsia" w:ascii="仿宋_GB2312" w:hAnsi="仿宋_GB2312" w:eastAsia="仿宋_GB2312"/>
          <w:sz w:val="32"/>
          <w:szCs w:val="32"/>
        </w:rPr>
      </w:pPr>
      <w:bookmarkStart w:id="41" w:name="_Hlk156405587"/>
      <w:r>
        <w:rPr>
          <w:rFonts w:hint="eastAsia" w:ascii="仿宋_GB2312" w:hAnsi="仿宋_GB2312" w:eastAsia="仿宋_GB2312"/>
          <w:sz w:val="32"/>
          <w:szCs w:val="32"/>
        </w:rPr>
        <w:t>（4）组织机构及职责；</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w:t>
      </w:r>
      <w:r>
        <w:rPr>
          <w:rFonts w:hint="eastAsia"/>
          <w:lang w:val="en-US" w:eastAsia="zh-CN"/>
        </w:rPr>
        <w:t>生产</w:t>
      </w:r>
      <w:r>
        <w:rPr>
          <w:rFonts w:hint="eastAsia" w:ascii="仿宋_GB2312" w:hAnsi="仿宋_GB2312" w:eastAsia="仿宋_GB2312"/>
          <w:sz w:val="32"/>
          <w:szCs w:val="32"/>
        </w:rPr>
        <w:t>/服务</w:t>
      </w:r>
      <w:r>
        <w:rPr>
          <w:rFonts w:hint="eastAsia"/>
          <w:lang w:val="en-US" w:eastAsia="zh-CN"/>
        </w:rPr>
        <w:t>的流程、</w:t>
      </w:r>
      <w:r>
        <w:rPr>
          <w:rFonts w:hint="eastAsia" w:ascii="仿宋_GB2312" w:hAnsi="仿宋_GB2312" w:eastAsia="仿宋_GB2312"/>
          <w:sz w:val="32"/>
          <w:szCs w:val="32"/>
        </w:rPr>
        <w:t>班次及轮班情况</w:t>
      </w:r>
      <w:r>
        <w:rPr>
          <w:rFonts w:hint="eastAsia"/>
          <w:lang w:eastAsia="zh-CN"/>
        </w:rPr>
        <w:t>和</w:t>
      </w:r>
      <w:r>
        <w:rPr>
          <w:rFonts w:hint="eastAsia"/>
        </w:rPr>
        <w:t>季节性</w:t>
      </w:r>
      <w:r>
        <w:rPr>
          <w:rFonts w:hint="eastAsia" w:ascii="仿宋_GB2312" w:hAnsi="仿宋_GB2312" w:eastAsia="仿宋_GB2312"/>
          <w:sz w:val="32"/>
          <w:szCs w:val="32"/>
        </w:rPr>
        <w:t>信息；</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（6）QMS运行满三个月的证据；</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（7）</w:t>
      </w:r>
      <w:r>
        <w:rPr>
          <w:rFonts w:hint="default" w:ascii="仿宋_GB2312" w:hAnsi="仿宋_GB2312" w:eastAsia="仿宋_GB2312"/>
          <w:sz w:val="32"/>
          <w:szCs w:val="32"/>
        </w:rPr>
        <w:t>一</w:t>
      </w:r>
      <w:r>
        <w:rPr>
          <w:rFonts w:hint="eastAsia" w:ascii="仿宋_GB2312" w:hAnsi="仿宋_GB2312" w:eastAsia="仿宋_GB2312"/>
          <w:sz w:val="32"/>
          <w:szCs w:val="32"/>
        </w:rPr>
        <w:t>年内所发生的质量事故、与质量相关的行政处罚、产品质量国家监督抽查不合格</w:t>
      </w:r>
      <w:r>
        <w:rPr>
          <w:rFonts w:hint="default" w:ascii="仿宋_GB2312" w:hAnsi="仿宋_GB2312" w:eastAsia="仿宋_GB2312"/>
          <w:sz w:val="32"/>
          <w:szCs w:val="32"/>
        </w:rPr>
        <w:t>、</w:t>
      </w:r>
      <w:r>
        <w:rPr>
          <w:rFonts w:hint="eastAsia" w:ascii="仿宋_GB2312" w:hAnsi="仿宋_GB2312" w:eastAsia="仿宋_GB2312"/>
          <w:sz w:val="32"/>
          <w:szCs w:val="32"/>
        </w:rPr>
        <w:t>其他质量抽查不合格的情况以及整改情况</w:t>
      </w:r>
      <w:r>
        <w:rPr>
          <w:rFonts w:hint="default" w:ascii="仿宋_GB2312" w:hAnsi="仿宋_GB2312" w:eastAsia="仿宋_GB2312"/>
          <w:sz w:val="32"/>
          <w:szCs w:val="32"/>
        </w:rPr>
        <w:t>（适用时）</w:t>
      </w:r>
      <w:r>
        <w:rPr>
          <w:rFonts w:hint="eastAsia" w:ascii="仿宋_GB2312" w:hAnsi="仿宋_GB2312" w:eastAsia="仿宋_GB2312"/>
          <w:sz w:val="32"/>
          <w:szCs w:val="32"/>
        </w:rPr>
        <w:t>；</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（8）其他需要提供的文件。</w:t>
      </w:r>
    </w:p>
    <w:bookmarkEnd w:id="41"/>
    <w:p>
      <w:pPr>
        <w:pStyle w:val="3"/>
        <w:autoSpaceDE w:val="0"/>
        <w:autoSpaceDN w:val="0"/>
        <w:adjustRightInd w:val="0"/>
        <w:snapToGrid w:val="0"/>
        <w:outlineLvl w:val="1"/>
      </w:pPr>
      <w:bookmarkStart w:id="42" w:name="_Toc16635"/>
      <w:bookmarkStart w:id="43" w:name="_Toc30615"/>
      <w:bookmarkStart w:id="44" w:name="_Toc16089"/>
      <w:bookmarkStart w:id="45" w:name="_Toc171603619"/>
      <w:bookmarkStart w:id="46" w:name="_Toc6367"/>
      <w:r>
        <w:t>5.2 申请评审</w:t>
      </w:r>
      <w:bookmarkEnd w:id="42"/>
      <w:bookmarkEnd w:id="43"/>
      <w:bookmarkEnd w:id="44"/>
      <w:bookmarkEnd w:id="45"/>
      <w:bookmarkEnd w:id="46"/>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5.2.1 认证机构应建立</w:t>
      </w:r>
      <w:r>
        <w:rPr>
          <w:rFonts w:hint="default" w:ascii="仿宋_GB2312" w:hAnsi="仿宋_GB2312" w:eastAsia="仿宋_GB2312"/>
          <w:sz w:val="32"/>
          <w:szCs w:val="32"/>
        </w:rPr>
        <w:t>并实施</w:t>
      </w:r>
      <w:r>
        <w:rPr>
          <w:rFonts w:hint="eastAsia" w:ascii="仿宋_GB2312" w:hAnsi="仿宋_GB2312" w:eastAsia="仿宋_GB2312"/>
          <w:sz w:val="32"/>
          <w:szCs w:val="32"/>
        </w:rPr>
        <w:t>相应程序，对认证委托人提交的申请</w:t>
      </w:r>
      <w:r>
        <w:rPr>
          <w:rFonts w:hint="eastAsia"/>
          <w:lang w:val="en-US" w:eastAsia="zh-CN"/>
        </w:rPr>
        <w:t>信息和</w:t>
      </w:r>
      <w:r>
        <w:rPr>
          <w:rFonts w:hint="eastAsia" w:ascii="仿宋_GB2312" w:hAnsi="仿宋_GB2312" w:eastAsia="仿宋_GB2312"/>
          <w:sz w:val="32"/>
          <w:szCs w:val="32"/>
        </w:rPr>
        <w:t>文件资料实施申请评审，</w:t>
      </w:r>
      <w:r>
        <w:rPr>
          <w:rFonts w:hint="default" w:ascii="仿宋_GB2312" w:hAnsi="仿宋_GB2312" w:eastAsia="仿宋_GB2312"/>
          <w:sz w:val="32"/>
          <w:szCs w:val="32"/>
        </w:rPr>
        <w:t>仔细鉴别申请</w:t>
      </w:r>
      <w:r>
        <w:rPr>
          <w:rFonts w:hint="eastAsia"/>
          <w:lang w:val="en-US" w:eastAsia="zh-CN"/>
        </w:rPr>
        <w:t>信息和</w:t>
      </w:r>
      <w:r>
        <w:rPr>
          <w:rFonts w:hint="eastAsia"/>
        </w:rPr>
        <w:t>文件资料</w:t>
      </w:r>
      <w:r>
        <w:rPr>
          <w:rFonts w:hint="default" w:ascii="仿宋_GB2312" w:hAnsi="仿宋_GB2312" w:eastAsia="仿宋_GB2312"/>
          <w:sz w:val="32"/>
          <w:szCs w:val="32"/>
        </w:rPr>
        <w:t>的真伪，</w:t>
      </w:r>
      <w:r>
        <w:rPr>
          <w:rFonts w:hint="eastAsia" w:ascii="仿宋_GB2312" w:hAnsi="仿宋_GB2312" w:eastAsia="仿宋_GB2312"/>
          <w:sz w:val="32"/>
          <w:szCs w:val="32"/>
        </w:rPr>
        <w:t>确定是否受理认证申请</w:t>
      </w:r>
      <w:r>
        <w:rPr>
          <w:rFonts w:hint="default" w:ascii="仿宋_GB2312" w:hAnsi="仿宋_GB2312" w:eastAsia="仿宋_GB2312"/>
          <w:sz w:val="32"/>
          <w:szCs w:val="32"/>
        </w:rPr>
        <w:t>，</w:t>
      </w:r>
      <w:r>
        <w:rPr>
          <w:rFonts w:hint="eastAsia" w:ascii="仿宋_GB2312" w:hAnsi="仿宋_GB2312" w:eastAsia="仿宋_GB2312"/>
          <w:sz w:val="32"/>
          <w:szCs w:val="32"/>
        </w:rPr>
        <w:t>并保存相应评审记录。</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5.2.2 满足以下条件的，认证机构可以受理认证申请：</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（1）认证委托人已具备受理条件（见5.1.2）；</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（2）认证机构具备实施认证的能力；</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（3）双方就认证事宜达成一致。</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 xml:space="preserve">5.2.3 </w:t>
      </w:r>
      <w:r>
        <w:rPr>
          <w:rFonts w:hint="default" w:ascii="仿宋_GB2312" w:hAnsi="仿宋_GB2312" w:eastAsia="仿宋_GB2312"/>
          <w:sz w:val="32"/>
          <w:szCs w:val="32"/>
          <w:highlight w:val="none"/>
        </w:rPr>
        <w:t>对于新的认证委托人，仅在同时满足下列</w:t>
      </w:r>
      <w:r>
        <w:rPr>
          <w:rFonts w:hint="eastAsia" w:ascii="仿宋_GB2312" w:hAnsi="仿宋_GB2312" w:eastAsia="仿宋_GB2312"/>
          <w:sz w:val="32"/>
          <w:szCs w:val="32"/>
          <w:highlight w:val="none"/>
          <w:lang w:val="en-US"/>
        </w:rPr>
        <w:t>情况</w:t>
      </w:r>
      <w:r>
        <w:rPr>
          <w:rFonts w:hint="default" w:ascii="仿宋_GB2312" w:hAnsi="仿宋_GB2312" w:eastAsia="仿宋_GB2312"/>
          <w:sz w:val="32"/>
          <w:szCs w:val="32"/>
          <w:highlight w:val="none"/>
        </w:rPr>
        <w:t>的前提下，</w:t>
      </w:r>
      <w:r>
        <w:rPr>
          <w:rFonts w:hint="eastAsia"/>
          <w:highlight w:val="none"/>
        </w:rPr>
        <w:t>认证机构</w:t>
      </w:r>
      <w:r>
        <w:rPr>
          <w:rFonts w:hint="default" w:ascii="仿宋_GB2312" w:hAnsi="仿宋_GB2312" w:eastAsia="仿宋_GB2312"/>
          <w:sz w:val="32"/>
          <w:szCs w:val="32"/>
          <w:highlight w:val="none"/>
        </w:rPr>
        <w:t>可实施认证转换，否则应按照初次认证开展认证活动：</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default" w:ascii="仿宋_GB2312" w:hAnsi="仿宋_GB2312" w:eastAsia="仿宋_GB2312"/>
          <w:sz w:val="32"/>
          <w:szCs w:val="32"/>
          <w:highlight w:val="none"/>
        </w:rPr>
        <w:t>（1）认证机构具有认证委托人申请认证的QMS认证范围的认可资格；</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default" w:ascii="仿宋_GB2312" w:hAnsi="仿宋_GB2312" w:eastAsia="仿宋_GB2312"/>
          <w:sz w:val="32"/>
          <w:szCs w:val="32"/>
          <w:highlight w:val="none"/>
        </w:rPr>
        <w:t>（2）认证委托人持有其他被认可的认证机构（原认证机构）颁发的带认可标识的QMS认证证书（原认证证书）；</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default" w:ascii="仿宋_GB2312" w:hAnsi="仿宋_GB2312" w:eastAsia="仿宋_GB2312"/>
          <w:sz w:val="32"/>
          <w:szCs w:val="32"/>
          <w:highlight w:val="none"/>
        </w:rPr>
        <w:t>（3）原认证证书处于有效期内，未被原认证机构实施暂停或撤销；</w:t>
      </w:r>
    </w:p>
    <w:p>
      <w:pPr>
        <w:autoSpaceDE/>
        <w:autoSpaceDN/>
        <w:adjustRightInd/>
        <w:snapToGrid/>
        <w:spacing w:line="240" w:lineRule="auto"/>
        <w:ind w:firstLine="640" w:firstLineChars="200"/>
        <w:rPr>
          <w:rFonts w:hint="eastAsia"/>
        </w:rPr>
      </w:pPr>
      <w:r>
        <w:rPr>
          <w:rFonts w:hint="default" w:ascii="仿宋_GB2312" w:hAnsi="仿宋_GB2312" w:eastAsia="仿宋_GB2312"/>
          <w:sz w:val="32"/>
          <w:szCs w:val="32"/>
          <w:highlight w:val="none"/>
        </w:rPr>
        <w:t>（4）原认证机构认证业务</w:t>
      </w:r>
      <w:r>
        <w:rPr>
          <w:rFonts w:hint="default" w:ascii="仿宋_GB2312" w:hAnsi="仿宋_GB2312" w:eastAsia="仿宋_GB2312"/>
          <w:sz w:val="32"/>
          <w:szCs w:val="32"/>
          <w:highlight w:val="none"/>
          <w:lang w:val="en-US" w:eastAsia="zh-CN"/>
        </w:rPr>
        <w:t>正常运行</w:t>
      </w:r>
      <w:r>
        <w:rPr>
          <w:rFonts w:hint="default" w:ascii="仿宋_GB2312" w:hAnsi="仿宋_GB2312" w:eastAsia="仿宋_GB2312"/>
          <w:sz w:val="32"/>
          <w:szCs w:val="32"/>
          <w:highlight w:val="none"/>
        </w:rPr>
        <w:t>，不存在认可资格到期、</w:t>
      </w:r>
      <w:r>
        <w:rPr>
          <w:rFonts w:hint="eastAsia"/>
        </w:rPr>
        <w:t>被暂停或撤销</w:t>
      </w:r>
      <w:r>
        <w:rPr>
          <w:rFonts w:hint="eastAsia"/>
          <w:lang w:val="en-US" w:eastAsia="zh-CN"/>
        </w:rPr>
        <w:t>的问题</w:t>
      </w:r>
      <w:r>
        <w:rPr>
          <w:rFonts w:hint="eastAsia"/>
        </w:rPr>
        <w:t>；</w:t>
      </w:r>
    </w:p>
    <w:p>
      <w:pPr>
        <w:autoSpaceDE/>
        <w:autoSpaceDN/>
        <w:adjustRightInd/>
        <w:snapToGrid/>
        <w:spacing w:line="240" w:lineRule="auto"/>
        <w:ind w:firstLine="640" w:firstLineChars="200"/>
        <w:rPr>
          <w:rFonts w:hint="default" w:ascii="仿宋_GB2312" w:hAnsi="仿宋_GB2312" w:eastAsia="仿宋_GB2312"/>
          <w:sz w:val="32"/>
          <w:szCs w:val="32"/>
          <w:highlight w:val="none"/>
        </w:rPr>
      </w:pPr>
      <w:r>
        <w:rPr>
          <w:rFonts w:hint="default" w:ascii="仿宋_GB2312" w:hAnsi="仿宋_GB2312" w:eastAsia="仿宋_GB2312"/>
          <w:sz w:val="32"/>
          <w:szCs w:val="32"/>
          <w:highlight w:val="none"/>
        </w:rPr>
        <w:t>（5）</w:t>
      </w:r>
      <w:r>
        <w:rPr>
          <w:rFonts w:hint="default" w:ascii="仿宋_GB2312" w:hAnsi="仿宋_GB2312" w:eastAsia="仿宋_GB2312"/>
          <w:sz w:val="32"/>
          <w:szCs w:val="32"/>
          <w:highlight w:val="none"/>
          <w:lang w:val="en-US" w:eastAsia="zh-CN"/>
        </w:rPr>
        <w:t>认证机构应</w:t>
      </w:r>
      <w:r>
        <w:rPr>
          <w:rFonts w:hint="default" w:ascii="仿宋_GB2312" w:hAnsi="仿宋_GB2312" w:eastAsia="仿宋_GB2312"/>
          <w:sz w:val="32"/>
          <w:szCs w:val="32"/>
          <w:highlight w:val="none"/>
        </w:rPr>
        <w:t>获得认证委托人初次认证</w:t>
      </w:r>
      <w:r>
        <w:rPr>
          <w:rFonts w:hint="default" w:ascii="仿宋_GB2312" w:hAnsi="仿宋_GB2312" w:eastAsia="仿宋_GB2312"/>
          <w:sz w:val="32"/>
          <w:szCs w:val="32"/>
          <w:highlight w:val="none"/>
          <w:lang w:val="en-US" w:eastAsia="zh-CN"/>
        </w:rPr>
        <w:t>审核报告</w:t>
      </w:r>
      <w:r>
        <w:rPr>
          <w:rFonts w:hint="default" w:ascii="仿宋_GB2312" w:hAnsi="仿宋_GB2312" w:eastAsia="仿宋_GB2312"/>
          <w:sz w:val="32"/>
          <w:szCs w:val="32"/>
          <w:highlight w:val="none"/>
        </w:rPr>
        <w:t>或最近</w:t>
      </w:r>
      <w:r>
        <w:rPr>
          <w:rFonts w:hint="default" w:ascii="仿宋_GB2312" w:hAnsi="仿宋_GB2312" w:eastAsia="仿宋_GB2312"/>
          <w:sz w:val="32"/>
          <w:szCs w:val="32"/>
          <w:highlight w:val="none"/>
          <w:lang w:val="en-US" w:eastAsia="zh-CN"/>
        </w:rPr>
        <w:t>一次</w:t>
      </w:r>
      <w:r>
        <w:rPr>
          <w:rFonts w:hint="default" w:ascii="仿宋_GB2312" w:hAnsi="仿宋_GB2312" w:eastAsia="仿宋_GB2312"/>
          <w:sz w:val="32"/>
          <w:szCs w:val="32"/>
          <w:highlight w:val="none"/>
        </w:rPr>
        <w:t>的再认证审核报告</w:t>
      </w:r>
      <w:r>
        <w:rPr>
          <w:rFonts w:hint="default" w:ascii="仿宋_GB2312" w:hAnsi="仿宋_GB2312" w:eastAsia="仿宋_GB2312"/>
          <w:sz w:val="32"/>
          <w:szCs w:val="32"/>
          <w:highlight w:val="none"/>
          <w:lang w:eastAsia="zh-CN"/>
        </w:rPr>
        <w:t>、</w:t>
      </w:r>
      <w:r>
        <w:rPr>
          <w:rFonts w:hint="default" w:ascii="仿宋_GB2312" w:hAnsi="仿宋_GB2312" w:eastAsia="仿宋_GB2312"/>
          <w:sz w:val="32"/>
          <w:szCs w:val="32"/>
          <w:highlight w:val="none"/>
        </w:rPr>
        <w:t>监督审核报告</w:t>
      </w:r>
      <w:r>
        <w:rPr>
          <w:rFonts w:hint="default" w:ascii="仿宋_GB2312" w:hAnsi="仿宋_GB2312" w:eastAsia="仿宋_GB2312"/>
          <w:sz w:val="32"/>
          <w:szCs w:val="32"/>
          <w:highlight w:val="none"/>
          <w:lang w:eastAsia="zh-CN"/>
        </w:rPr>
        <w:t>、</w:t>
      </w:r>
      <w:r>
        <w:rPr>
          <w:rFonts w:hint="default" w:ascii="仿宋_GB2312" w:hAnsi="仿宋_GB2312" w:eastAsia="仿宋_GB2312"/>
          <w:sz w:val="32"/>
          <w:szCs w:val="32"/>
          <w:highlight w:val="none"/>
        </w:rPr>
        <w:t>审核中发现的不符合</w:t>
      </w:r>
      <w:r>
        <w:rPr>
          <w:rFonts w:hint="default" w:ascii="仿宋_GB2312" w:hAnsi="仿宋_GB2312" w:eastAsia="仿宋_GB2312"/>
          <w:sz w:val="32"/>
          <w:szCs w:val="32"/>
          <w:highlight w:val="none"/>
          <w:lang w:val="en-US" w:eastAsia="zh-CN"/>
        </w:rPr>
        <w:t>及其纠正措施</w:t>
      </w:r>
      <w:r>
        <w:rPr>
          <w:rFonts w:hint="default" w:ascii="仿宋_GB2312" w:hAnsi="仿宋_GB2312" w:eastAsia="仿宋_GB2312"/>
          <w:sz w:val="32"/>
          <w:szCs w:val="32"/>
          <w:highlight w:val="none"/>
        </w:rPr>
        <w:t>。</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5.2.4 认证机构应将申请评审的结果告知认证委托人。</w:t>
      </w:r>
    </w:p>
    <w:p>
      <w:pPr>
        <w:pStyle w:val="3"/>
        <w:autoSpaceDE w:val="0"/>
        <w:autoSpaceDN w:val="0"/>
        <w:adjustRightInd w:val="0"/>
        <w:snapToGrid w:val="0"/>
        <w:outlineLvl w:val="1"/>
        <w:rPr>
          <w:rFonts w:hint="default"/>
          <w:lang w:val="en-US" w:eastAsia="zh-CN"/>
        </w:rPr>
      </w:pPr>
      <w:bookmarkStart w:id="47" w:name="_Hlk156405893"/>
      <w:bookmarkStart w:id="48" w:name="_Toc171603620"/>
      <w:bookmarkStart w:id="49" w:name="_Toc15160"/>
      <w:bookmarkStart w:id="50" w:name="_Toc26465"/>
      <w:bookmarkStart w:id="51" w:name="_Toc13053"/>
      <w:bookmarkStart w:id="52" w:name="_Toc3536"/>
      <w:r>
        <w:t xml:space="preserve">5.3 </w:t>
      </w:r>
      <w:bookmarkEnd w:id="47"/>
      <w:r>
        <w:t>认证合同</w:t>
      </w:r>
      <w:bookmarkEnd w:id="48"/>
      <w:r>
        <w:rPr>
          <w:rFonts w:hint="eastAsia"/>
          <w:lang w:val="en-US" w:eastAsia="zh-CN"/>
        </w:rPr>
        <w:t>及相关责任</w:t>
      </w:r>
      <w:bookmarkEnd w:id="49"/>
      <w:bookmarkEnd w:id="50"/>
      <w:bookmarkEnd w:id="51"/>
      <w:bookmarkEnd w:id="52"/>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5.3.1 通过申请评审的，认证机构应与每个认证委托人签订具有法律效力的认证合同，明确</w:t>
      </w:r>
      <w:r>
        <w:rPr>
          <w:rFonts w:hint="eastAsia"/>
          <w:lang w:val="en-US" w:eastAsia="zh-CN"/>
        </w:rPr>
        <w:t>认证服务的费用、付费方式和违约条款，及</w:t>
      </w:r>
      <w:r>
        <w:rPr>
          <w:rFonts w:hint="eastAsia" w:ascii="仿宋_GB2312" w:hAnsi="仿宋_GB2312" w:eastAsia="仿宋_GB2312"/>
          <w:sz w:val="32"/>
          <w:szCs w:val="32"/>
        </w:rPr>
        <w:t>认证委托人</w:t>
      </w:r>
      <w:r>
        <w:rPr>
          <w:rFonts w:hint="default" w:ascii="仿宋_GB2312" w:hAnsi="仿宋_GB2312" w:eastAsia="仿宋_GB2312"/>
          <w:sz w:val="32"/>
          <w:szCs w:val="32"/>
          <w:lang w:eastAsia="zh-CN"/>
        </w:rPr>
        <w:t>、</w:t>
      </w:r>
      <w:r>
        <w:rPr>
          <w:rFonts w:hint="eastAsia" w:ascii="仿宋_GB2312" w:hAnsi="仿宋_GB2312" w:eastAsia="仿宋_GB2312"/>
          <w:sz w:val="32"/>
          <w:szCs w:val="32"/>
        </w:rPr>
        <w:t>认证机构</w:t>
      </w:r>
      <w:r>
        <w:rPr>
          <w:rFonts w:hint="default" w:ascii="仿宋_GB2312" w:hAnsi="仿宋_GB2312" w:eastAsia="仿宋_GB2312"/>
          <w:sz w:val="32"/>
          <w:szCs w:val="32"/>
          <w:lang w:val="en-US" w:eastAsia="zh-CN"/>
        </w:rPr>
        <w:t>和获证组织</w:t>
      </w:r>
      <w:r>
        <w:rPr>
          <w:rFonts w:hint="eastAsia" w:ascii="仿宋_GB2312" w:hAnsi="仿宋_GB2312" w:eastAsia="仿宋_GB2312"/>
          <w:sz w:val="32"/>
          <w:szCs w:val="32"/>
        </w:rPr>
        <w:t>的责任。</w:t>
      </w:r>
      <w:r>
        <w:t>认证费用应由认证委托人向认证机构直接支付。</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5.3.2 认证机构</w:t>
      </w:r>
      <w:r>
        <w:rPr>
          <w:rFonts w:hint="eastAsia"/>
          <w:lang w:val="en-US" w:eastAsia="zh-CN"/>
        </w:rPr>
        <w:t>应</w:t>
      </w:r>
      <w:r>
        <w:rPr>
          <w:rFonts w:hint="eastAsia" w:ascii="仿宋_GB2312" w:hAnsi="仿宋_GB2312" w:eastAsia="仿宋_GB2312"/>
          <w:sz w:val="32"/>
          <w:szCs w:val="32"/>
        </w:rPr>
        <w:t>及时向符合认证要求的</w:t>
      </w:r>
      <w:r>
        <w:rPr>
          <w:rFonts w:hint="default" w:ascii="仿宋_GB2312" w:hAnsi="仿宋_GB2312" w:eastAsia="仿宋_GB2312"/>
          <w:sz w:val="32"/>
          <w:szCs w:val="32"/>
        </w:rPr>
        <w:t>认证委托人</w:t>
      </w:r>
      <w:r>
        <w:rPr>
          <w:rFonts w:hint="eastAsia" w:ascii="仿宋_GB2312" w:hAnsi="仿宋_GB2312" w:eastAsia="仿宋_GB2312"/>
          <w:sz w:val="32"/>
          <w:szCs w:val="32"/>
        </w:rPr>
        <w:t>颁发认证证书，对获证组织QMS运行情况进行有效监督，</w:t>
      </w:r>
      <w:r>
        <w:rPr>
          <w:rFonts w:hint="eastAsia"/>
        </w:rPr>
        <w:t>通过其网站或者其他形式向社会公布</w:t>
      </w:r>
      <w:r>
        <w:rPr>
          <w:rFonts w:hint="eastAsia"/>
          <w:lang w:val="en-US" w:eastAsia="zh-CN"/>
        </w:rPr>
        <w:t>认证证书</w:t>
      </w:r>
      <w:r>
        <w:rPr>
          <w:rFonts w:hint="eastAsia"/>
        </w:rPr>
        <w:t>信息；</w:t>
      </w:r>
      <w:r>
        <w:rPr>
          <w:rFonts w:hint="eastAsia" w:ascii="仿宋_GB2312" w:hAnsi="仿宋_GB2312" w:eastAsia="仿宋_GB2312"/>
          <w:sz w:val="32"/>
          <w:szCs w:val="32"/>
        </w:rPr>
        <w:t>因认证机构</w:t>
      </w:r>
      <w:r>
        <w:rPr>
          <w:rFonts w:hint="default" w:ascii="仿宋_GB2312" w:hAnsi="仿宋_GB2312" w:eastAsia="仿宋_GB2312" w:cs="仿宋_GB2312"/>
          <w:sz w:val="32"/>
          <w:szCs w:val="32"/>
          <w:lang w:val="en-US" w:eastAsia="zh-CN"/>
        </w:rPr>
        <w:t>批准</w:t>
      </w:r>
      <w:r>
        <w:rPr>
          <w:rFonts w:hint="eastAsia" w:ascii="仿宋_GB2312" w:hAnsi="仿宋_GB2312" w:eastAsia="仿宋_GB2312"/>
          <w:sz w:val="32"/>
          <w:szCs w:val="32"/>
        </w:rPr>
        <w:t>资质注销或</w:t>
      </w:r>
      <w:r>
        <w:rPr>
          <w:rFonts w:hint="default" w:ascii="仿宋_GB2312" w:hAnsi="仿宋_GB2312" w:eastAsia="仿宋_GB2312" w:cs="仿宋_GB2312"/>
          <w:sz w:val="32"/>
          <w:szCs w:val="32"/>
          <w:highlight w:val="none"/>
          <w:lang w:eastAsia="zh-CN"/>
        </w:rPr>
        <w:t>被</w:t>
      </w:r>
      <w:r>
        <w:rPr>
          <w:rFonts w:hint="eastAsia" w:ascii="仿宋_GB2312" w:hAnsi="仿宋_GB2312" w:eastAsia="仿宋_GB2312"/>
          <w:sz w:val="32"/>
          <w:szCs w:val="32"/>
        </w:rPr>
        <w:t>撤销导致获证组织QMS</w:t>
      </w:r>
      <w:r>
        <w:rPr>
          <w:rFonts w:hint="default" w:ascii="仿宋_GB2312" w:hAnsi="仿宋_GB2312" w:eastAsia="仿宋_GB2312"/>
          <w:sz w:val="32"/>
          <w:szCs w:val="32"/>
        </w:rPr>
        <w:t>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无法有效保持的，需及时告知获证组织并做出妥善处理，并承担由此导致的获证组织</w:t>
      </w:r>
      <w:r>
        <w:rPr>
          <w:rFonts w:hint="default" w:ascii="仿宋_GB2312" w:hAnsi="仿宋_GB2312" w:eastAsia="仿宋_GB2312"/>
          <w:sz w:val="32"/>
          <w:szCs w:val="32"/>
        </w:rPr>
        <w:t>在合同上约定或法律认定的</w:t>
      </w:r>
      <w:r>
        <w:rPr>
          <w:rFonts w:hint="eastAsia" w:ascii="仿宋_GB2312" w:hAnsi="仿宋_GB2312" w:eastAsia="仿宋_GB2312"/>
          <w:sz w:val="32"/>
          <w:szCs w:val="32"/>
        </w:rPr>
        <w:t>经济损失。</w:t>
      </w:r>
    </w:p>
    <w:p>
      <w:pPr>
        <w:autoSpaceDE/>
        <w:autoSpaceDN/>
        <w:adjustRightInd/>
        <w:snapToGrid/>
        <w:spacing w:line="240" w:lineRule="auto"/>
        <w:ind w:firstLine="640" w:firstLineChars="200"/>
        <w:rPr>
          <w:rFonts w:hint="default" w:ascii="仿宋_GB2312" w:hAnsi="仿宋_GB2312" w:eastAsia="仿宋_GB2312"/>
          <w:sz w:val="32"/>
          <w:szCs w:val="32"/>
          <w:lang w:eastAsia="zh-CN"/>
        </w:rPr>
      </w:pPr>
      <w:r>
        <w:rPr>
          <w:rFonts w:hint="eastAsia" w:ascii="仿宋_GB2312" w:hAnsi="仿宋_GB2312" w:eastAsia="仿宋_GB2312"/>
          <w:sz w:val="32"/>
          <w:szCs w:val="32"/>
        </w:rPr>
        <w:t xml:space="preserve">5.3.3 </w:t>
      </w:r>
      <w:r>
        <w:rPr>
          <w:rFonts w:hint="default" w:ascii="仿宋_GB2312" w:hAnsi="仿宋_GB2312" w:eastAsia="仿宋_GB2312"/>
          <w:sz w:val="32"/>
          <w:szCs w:val="32"/>
          <w:lang w:val="en-US" w:eastAsia="zh-CN"/>
        </w:rPr>
        <w:t>认证委托人</w:t>
      </w:r>
      <w:r>
        <w:rPr>
          <w:rFonts w:hint="eastAsia"/>
          <w:lang w:val="en-US" w:eastAsia="zh-CN"/>
        </w:rPr>
        <w:t>应</w:t>
      </w:r>
      <w:r>
        <w:rPr>
          <w:rFonts w:hint="eastAsia" w:ascii="仿宋_GB2312" w:hAnsi="仿宋_GB2312" w:eastAsia="仿宋_GB2312"/>
          <w:sz w:val="32"/>
          <w:szCs w:val="32"/>
        </w:rPr>
        <w:t>遵守认证</w:t>
      </w:r>
      <w:r>
        <w:rPr>
          <w:rStyle w:val="20"/>
          <w:rFonts w:hint="eastAsia" w:ascii="仿宋_GB2312" w:hAnsi="仿宋_GB2312" w:eastAsia="仿宋_GB2312"/>
          <w:sz w:val="32"/>
          <w:szCs w:val="32"/>
        </w:rPr>
        <w:t>程序要求</w:t>
      </w:r>
      <w:r>
        <w:rPr>
          <w:rFonts w:hint="eastAsia" w:ascii="仿宋_GB2312" w:hAnsi="仿宋_GB2312" w:eastAsia="仿宋_GB2312"/>
          <w:sz w:val="32"/>
          <w:szCs w:val="32"/>
        </w:rPr>
        <w:t>，如实提供相关材料和信息</w:t>
      </w:r>
      <w:r>
        <w:rPr>
          <w:rFonts w:hint="eastAsia"/>
          <w:lang w:eastAsia="zh-CN"/>
        </w:rPr>
        <w:t>，</w:t>
      </w:r>
      <w:r>
        <w:rPr>
          <w:rFonts w:hint="eastAsia" w:ascii="仿宋_GB2312" w:hAnsi="仿宋_GB2312" w:eastAsia="仿宋_GB2312"/>
          <w:sz w:val="32"/>
          <w:szCs w:val="32"/>
        </w:rPr>
        <w:t>配合认证</w:t>
      </w:r>
      <w:r>
        <w:rPr>
          <w:rFonts w:hint="eastAsia"/>
          <w:lang w:val="en-US" w:eastAsia="zh-CN"/>
        </w:rPr>
        <w:t>行政</w:t>
      </w:r>
      <w:r>
        <w:rPr>
          <w:rFonts w:hint="eastAsia" w:ascii="仿宋_GB2312" w:hAnsi="仿宋_GB2312" w:eastAsia="仿宋_GB2312"/>
          <w:sz w:val="32"/>
          <w:szCs w:val="32"/>
        </w:rPr>
        <w:t>监管部门的监督检查</w:t>
      </w:r>
      <w:r>
        <w:rPr>
          <w:rFonts w:hint="eastAsia"/>
          <w:lang w:eastAsia="zh-CN"/>
        </w:rPr>
        <w:t>和</w:t>
      </w:r>
      <w:r>
        <w:rPr>
          <w:rFonts w:hint="eastAsia" w:ascii="仿宋_GB2312" w:hAnsi="仿宋_GB2312" w:eastAsia="仿宋_GB2312"/>
          <w:sz w:val="32"/>
          <w:szCs w:val="32"/>
        </w:rPr>
        <w:t>认证机构对投诉的调查</w:t>
      </w:r>
      <w:r>
        <w:rPr>
          <w:rFonts w:hint="eastAsia"/>
          <w:lang w:eastAsia="zh-CN"/>
        </w:rPr>
        <w:t>，</w:t>
      </w:r>
      <w:r>
        <w:rPr>
          <w:rFonts w:hint="eastAsia"/>
        </w:rPr>
        <w:t>及时向认证机构通报</w:t>
      </w:r>
      <w:r>
        <w:rPr>
          <w:rFonts w:hint="eastAsia"/>
          <w:lang w:val="en-US" w:eastAsia="zh-CN"/>
        </w:rPr>
        <w:t>QMS及5.1.2中条件的变更情况</w:t>
      </w:r>
      <w:r>
        <w:rPr>
          <w:rFonts w:hint="eastAsia"/>
          <w:lang w:eastAsia="zh-CN"/>
        </w:rPr>
        <w:t>，</w:t>
      </w:r>
      <w:r>
        <w:rPr>
          <w:rFonts w:hint="eastAsia" w:ascii="仿宋_GB2312" w:hAnsi="仿宋_GB2312" w:eastAsia="仿宋_GB2312"/>
          <w:sz w:val="32"/>
          <w:szCs w:val="32"/>
        </w:rPr>
        <w:t>承担选择</w:t>
      </w:r>
      <w:r>
        <w:rPr>
          <w:rFonts w:hint="eastAsia"/>
          <w:lang w:val="en-US" w:eastAsia="zh-CN"/>
        </w:rPr>
        <w:t>的</w:t>
      </w:r>
      <w:r>
        <w:rPr>
          <w:rFonts w:hint="eastAsia" w:ascii="仿宋_GB2312" w:hAnsi="仿宋_GB2312" w:eastAsia="仿宋_GB2312"/>
          <w:sz w:val="32"/>
          <w:szCs w:val="32"/>
        </w:rPr>
        <w:t>认证机构资质被撤销而带来的认证</w:t>
      </w:r>
      <w:r>
        <w:rPr>
          <w:rFonts w:hint="default" w:ascii="仿宋_GB2312" w:hAnsi="仿宋_GB2312" w:eastAsia="仿宋_GB2312"/>
          <w:sz w:val="32"/>
          <w:szCs w:val="32"/>
          <w:lang w:val="en-US" w:eastAsia="zh-CN"/>
        </w:rPr>
        <w:t>活动终止、认证证书无法使用</w:t>
      </w:r>
      <w:r>
        <w:rPr>
          <w:rFonts w:hint="eastAsia"/>
          <w:sz w:val="32"/>
          <w:szCs w:val="32"/>
          <w:lang w:val="en-US" w:eastAsia="zh-CN"/>
        </w:rPr>
        <w:t>的</w:t>
      </w:r>
      <w:r>
        <w:rPr>
          <w:rFonts w:hint="eastAsia" w:ascii="仿宋_GB2312" w:hAnsi="仿宋_GB2312" w:eastAsia="仿宋_GB2312"/>
          <w:sz w:val="32"/>
          <w:szCs w:val="32"/>
        </w:rPr>
        <w:t>风险</w:t>
      </w:r>
      <w:r>
        <w:rPr>
          <w:rFonts w:hint="default" w:ascii="仿宋_GB2312" w:hAnsi="仿宋_GB2312" w:eastAsia="仿宋_GB2312"/>
          <w:sz w:val="32"/>
          <w:szCs w:val="32"/>
          <w:lang w:eastAsia="zh-CN"/>
        </w:rPr>
        <w:t>。</w:t>
      </w:r>
    </w:p>
    <w:p>
      <w:pPr>
        <w:autoSpaceDE/>
        <w:autoSpaceDN/>
        <w:adjustRightInd/>
        <w:snapToGrid/>
        <w:spacing w:line="240" w:lineRule="auto"/>
        <w:ind w:firstLine="640" w:firstLineChars="200"/>
        <w:rPr>
          <w:rFonts w:hint="default" w:ascii="仿宋_GB2312" w:hAnsi="仿宋_GB2312" w:eastAsia="仿宋_GB2312"/>
          <w:sz w:val="32"/>
          <w:szCs w:val="32"/>
          <w:lang w:eastAsia="zh-CN"/>
        </w:rPr>
      </w:pPr>
      <w:r>
        <w:rPr>
          <w:rFonts w:hint="default" w:ascii="仿宋_GB2312" w:hAnsi="仿宋_GB2312" w:eastAsia="仿宋_GB2312"/>
          <w:sz w:val="32"/>
          <w:szCs w:val="32"/>
          <w:lang w:val="en-US" w:eastAsia="zh-CN"/>
        </w:rPr>
        <w:t xml:space="preserve">5.3.4 </w:t>
      </w:r>
      <w:r>
        <w:rPr>
          <w:rFonts w:hint="eastAsia" w:ascii="仿宋_GB2312" w:hAnsi="仿宋_GB2312" w:eastAsia="仿宋_GB2312"/>
          <w:sz w:val="32"/>
          <w:szCs w:val="32"/>
        </w:rPr>
        <w:t>获证组织</w:t>
      </w:r>
      <w:r>
        <w:rPr>
          <w:rFonts w:hint="eastAsia"/>
          <w:lang w:val="en-US" w:eastAsia="zh-CN"/>
        </w:rPr>
        <w:t>应</w:t>
      </w:r>
      <w:r>
        <w:rPr>
          <w:rFonts w:hint="eastAsia" w:ascii="仿宋_GB2312" w:hAnsi="仿宋_GB2312" w:eastAsia="仿宋_GB2312"/>
          <w:sz w:val="32"/>
          <w:szCs w:val="32"/>
        </w:rPr>
        <w:t>遵守认证</w:t>
      </w:r>
      <w:r>
        <w:rPr>
          <w:rStyle w:val="20"/>
          <w:rFonts w:hint="eastAsia" w:ascii="仿宋_GB2312" w:hAnsi="仿宋_GB2312" w:eastAsia="仿宋_GB2312"/>
          <w:sz w:val="32"/>
          <w:szCs w:val="32"/>
        </w:rPr>
        <w:t>程序要求</w:t>
      </w:r>
      <w:r>
        <w:rPr>
          <w:rFonts w:hint="eastAsia" w:ascii="仿宋_GB2312" w:hAnsi="仿宋_GB2312" w:eastAsia="仿宋_GB2312"/>
          <w:sz w:val="32"/>
          <w:szCs w:val="32"/>
        </w:rPr>
        <w:t>，如实提供相关材料和信息，通过QMS认证后持续有效运行QMS</w:t>
      </w:r>
      <w:r>
        <w:rPr>
          <w:rFonts w:hint="eastAsia"/>
          <w:lang w:eastAsia="zh-CN"/>
        </w:rPr>
        <w:t>，</w:t>
      </w:r>
      <w:r>
        <w:rPr>
          <w:rFonts w:hint="eastAsia" w:ascii="仿宋_GB2312" w:hAnsi="仿宋_GB2312" w:eastAsia="仿宋_GB2312"/>
          <w:sz w:val="32"/>
          <w:szCs w:val="32"/>
        </w:rPr>
        <w:t>配合认证</w:t>
      </w:r>
      <w:r>
        <w:rPr>
          <w:rFonts w:hint="eastAsia"/>
          <w:lang w:val="en-US" w:eastAsia="zh-CN"/>
        </w:rPr>
        <w:t>行政</w:t>
      </w:r>
      <w:r>
        <w:rPr>
          <w:rFonts w:hint="eastAsia" w:ascii="仿宋_GB2312" w:hAnsi="仿宋_GB2312" w:eastAsia="仿宋_GB2312"/>
          <w:sz w:val="32"/>
          <w:szCs w:val="32"/>
        </w:rPr>
        <w:t>监管部门的监督检查</w:t>
      </w:r>
      <w:r>
        <w:rPr>
          <w:rFonts w:hint="eastAsia"/>
          <w:lang w:eastAsia="zh-CN"/>
        </w:rPr>
        <w:t>和</w:t>
      </w:r>
      <w:r>
        <w:rPr>
          <w:rFonts w:hint="eastAsia" w:ascii="仿宋_GB2312" w:hAnsi="仿宋_GB2312" w:eastAsia="仿宋_GB2312"/>
          <w:sz w:val="32"/>
          <w:szCs w:val="32"/>
        </w:rPr>
        <w:t>认证机构对投诉的调查</w:t>
      </w:r>
      <w:r>
        <w:rPr>
          <w:rFonts w:hint="eastAsia"/>
          <w:lang w:eastAsia="zh-CN"/>
        </w:rPr>
        <w:t>，</w:t>
      </w:r>
      <w:r>
        <w:rPr>
          <w:rFonts w:hint="eastAsia" w:ascii="仿宋_GB2312" w:hAnsi="仿宋_GB2312" w:eastAsia="仿宋_GB2312"/>
          <w:sz w:val="32"/>
          <w:szCs w:val="32"/>
        </w:rPr>
        <w:t>在广告、宣传等活动中正确使用认证证书、认证标志和有关信息</w:t>
      </w:r>
      <w:r>
        <w:rPr>
          <w:rFonts w:hint="eastAsia"/>
          <w:lang w:eastAsia="zh-CN"/>
        </w:rPr>
        <w:t>，</w:t>
      </w:r>
      <w:r>
        <w:rPr>
          <w:rFonts w:hint="eastAsia" w:ascii="仿宋_GB2312" w:hAnsi="仿宋_GB2312" w:eastAsia="仿宋_GB2312"/>
          <w:sz w:val="32"/>
          <w:szCs w:val="32"/>
        </w:rPr>
        <w:t>及时向认证机构通报</w:t>
      </w:r>
      <w:r>
        <w:rPr>
          <w:rFonts w:hint="eastAsia"/>
          <w:lang w:val="en-US" w:eastAsia="zh-CN"/>
        </w:rPr>
        <w:t>QMS及5.1.2中条件的</w:t>
      </w:r>
      <w:r>
        <w:rPr>
          <w:rFonts w:hint="default" w:ascii="仿宋_GB2312" w:hAnsi="仿宋_GB2312" w:eastAsia="仿宋_GB2312"/>
          <w:sz w:val="32"/>
          <w:szCs w:val="32"/>
        </w:rPr>
        <w:t>变更</w:t>
      </w:r>
      <w:r>
        <w:rPr>
          <w:rFonts w:hint="eastAsia" w:ascii="仿宋_GB2312" w:hAnsi="仿宋_GB2312" w:eastAsia="仿宋_GB2312"/>
          <w:sz w:val="32"/>
          <w:szCs w:val="32"/>
        </w:rPr>
        <w:t>情况</w:t>
      </w:r>
      <w:r>
        <w:rPr>
          <w:rFonts w:hint="eastAsia"/>
          <w:lang w:eastAsia="zh-CN"/>
        </w:rPr>
        <w:t>，</w:t>
      </w:r>
      <w:r>
        <w:rPr>
          <w:rFonts w:hint="eastAsia" w:ascii="仿宋_GB2312" w:hAnsi="仿宋_GB2312" w:eastAsia="仿宋_GB2312"/>
          <w:sz w:val="32"/>
          <w:szCs w:val="32"/>
        </w:rPr>
        <w:t>承担选择</w:t>
      </w:r>
      <w:r>
        <w:rPr>
          <w:rFonts w:hint="eastAsia"/>
          <w:lang w:val="en-US" w:eastAsia="zh-CN"/>
        </w:rPr>
        <w:t>的</w:t>
      </w:r>
      <w:r>
        <w:rPr>
          <w:rFonts w:hint="eastAsia" w:ascii="仿宋_GB2312" w:hAnsi="仿宋_GB2312" w:eastAsia="仿宋_GB2312"/>
          <w:sz w:val="32"/>
          <w:szCs w:val="32"/>
        </w:rPr>
        <w:t>认证机构资质被撤销而带来的认证证书无法使用的风险</w:t>
      </w:r>
      <w:r>
        <w:rPr>
          <w:rFonts w:hint="default" w:ascii="仿宋_GB2312" w:hAnsi="仿宋_GB2312" w:eastAsia="仿宋_GB2312"/>
          <w:sz w:val="32"/>
          <w:szCs w:val="32"/>
          <w:lang w:eastAsia="zh-CN"/>
        </w:rPr>
        <w:t>。</w:t>
      </w:r>
    </w:p>
    <w:p>
      <w:pPr>
        <w:pStyle w:val="3"/>
        <w:autoSpaceDE w:val="0"/>
        <w:autoSpaceDN w:val="0"/>
        <w:adjustRightInd w:val="0"/>
        <w:snapToGrid w:val="0"/>
        <w:outlineLvl w:val="1"/>
      </w:pPr>
      <w:bookmarkStart w:id="53" w:name="_Toc26486"/>
      <w:bookmarkStart w:id="54" w:name="_Toc171603621"/>
      <w:bookmarkStart w:id="55" w:name="_Toc15205"/>
      <w:bookmarkStart w:id="56" w:name="_Toc18290"/>
      <w:bookmarkStart w:id="57" w:name="_Toc12687"/>
      <w:r>
        <w:t>5.4 审核方案和审核策划</w:t>
      </w:r>
      <w:bookmarkEnd w:id="53"/>
      <w:bookmarkEnd w:id="54"/>
      <w:bookmarkEnd w:id="55"/>
      <w:bookmarkEnd w:id="56"/>
      <w:bookmarkEnd w:id="57"/>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5.4.1 审核方案</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5.4.1.1 认证机构应针对每一认证委托人建立认证周期内的审核方案，以清晰地识别所需的审核活动。</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5.4.1.2 初次认证的审核方案应包括两阶段初次</w:t>
      </w:r>
      <w:r>
        <w:rPr>
          <w:rFonts w:hint="eastAsia"/>
          <w:lang w:val="en-US" w:eastAsia="zh-CN"/>
        </w:rPr>
        <w:t>认证</w:t>
      </w:r>
      <w:r>
        <w:rPr>
          <w:rFonts w:hint="eastAsia" w:ascii="仿宋_GB2312" w:hAnsi="仿宋_GB2312" w:eastAsia="仿宋_GB2312"/>
          <w:sz w:val="32"/>
          <w:szCs w:val="32"/>
        </w:rPr>
        <w:t>审核、获证后的监督审核和认证到期前的再认证审核。</w:t>
      </w:r>
      <w:r>
        <w:rPr>
          <w:rFonts w:hint="eastAsia"/>
          <w:lang w:val="en-US" w:eastAsia="zh-CN"/>
        </w:rPr>
        <w:t>再</w:t>
      </w:r>
      <w:r>
        <w:rPr>
          <w:rFonts w:hint="eastAsia"/>
        </w:rPr>
        <w:t>认证的审核方案应包括</w:t>
      </w:r>
      <w:r>
        <w:rPr>
          <w:rFonts w:hint="eastAsia"/>
          <w:lang w:val="en-US" w:eastAsia="zh-CN"/>
        </w:rPr>
        <w:t>再认证</w:t>
      </w:r>
      <w:r>
        <w:rPr>
          <w:rFonts w:hint="eastAsia"/>
        </w:rPr>
        <w:t>审核、获证后的监督审核和认证到期前的再认证审核。</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5.4.1.3 初次认证审核和再认证审核是对认证委托人完整体系的审核，应覆盖</w:t>
      </w:r>
      <w:bookmarkStart w:id="58" w:name="_Hlk160631421"/>
      <w:r>
        <w:rPr>
          <w:rFonts w:hint="eastAsia" w:ascii="仿宋_GB2312" w:hAnsi="仿宋_GB2312" w:eastAsia="仿宋_GB2312"/>
          <w:sz w:val="32"/>
          <w:szCs w:val="32"/>
        </w:rPr>
        <w:t>GB/T 19001/ISO 9001所有要求</w:t>
      </w:r>
      <w:bookmarkEnd w:id="58"/>
      <w:r>
        <w:rPr>
          <w:rFonts w:hint="eastAsia" w:ascii="仿宋_GB2312" w:hAnsi="仿宋_GB2312" w:eastAsia="仿宋_GB2312"/>
          <w:sz w:val="32"/>
          <w:szCs w:val="32"/>
        </w:rPr>
        <w:t>，以及认证范围内的典型产品和服务。认证证书有效期内的监督审核</w:t>
      </w:r>
      <w:r>
        <w:rPr>
          <w:rFonts w:hint="default" w:ascii="仿宋_GB2312" w:hAnsi="仿宋_GB2312" w:eastAsia="仿宋_GB2312"/>
          <w:sz w:val="32"/>
          <w:szCs w:val="32"/>
        </w:rPr>
        <w:t>累计</w:t>
      </w:r>
      <w:r>
        <w:rPr>
          <w:rFonts w:hint="eastAsia" w:ascii="仿宋_GB2312" w:hAnsi="仿宋_GB2312" w:eastAsia="仿宋_GB2312"/>
          <w:sz w:val="32"/>
          <w:szCs w:val="32"/>
        </w:rPr>
        <w:t>应覆盖GB/T 19001/ISO 9001所有要求。</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5.4.1.4 初次认证及再认证后的第一次监督审核应在</w:t>
      </w:r>
      <w:r>
        <w:rPr>
          <w:rFonts w:hint="default" w:ascii="仿宋_GB2312" w:hAnsi="仿宋_GB2312" w:eastAsia="仿宋_GB2312"/>
          <w:sz w:val="32"/>
          <w:szCs w:val="32"/>
        </w:rPr>
        <w:t>认证</w:t>
      </w:r>
      <w:r>
        <w:rPr>
          <w:rFonts w:hint="eastAsia" w:ascii="仿宋_GB2312" w:hAnsi="仿宋_GB2312" w:eastAsia="仿宋_GB2312"/>
          <w:sz w:val="32"/>
          <w:szCs w:val="32"/>
          <w:lang w:val="en-US"/>
        </w:rPr>
        <w:t>证书签发</w:t>
      </w:r>
      <w:r>
        <w:rPr>
          <w:rFonts w:hint="default" w:ascii="仿宋_GB2312" w:hAnsi="仿宋_GB2312" w:eastAsia="仿宋_GB2312"/>
          <w:sz w:val="32"/>
          <w:szCs w:val="32"/>
        </w:rPr>
        <w:t>之日</w:t>
      </w:r>
      <w:r>
        <w:rPr>
          <w:rFonts w:hint="eastAsia" w:ascii="仿宋_GB2312" w:hAnsi="仿宋_GB2312" w:eastAsia="仿宋_GB2312"/>
          <w:sz w:val="32"/>
          <w:szCs w:val="32"/>
        </w:rPr>
        <w:t>起12个月内进行。此后，监督审核间隔不</w:t>
      </w:r>
      <w:r>
        <w:rPr>
          <w:rFonts w:hint="eastAsia"/>
          <w:sz w:val="32"/>
          <w:szCs w:val="32"/>
          <w:lang w:eastAsia="zh-CN"/>
        </w:rPr>
        <w:t>应</w:t>
      </w:r>
      <w:r>
        <w:rPr>
          <w:rFonts w:hint="eastAsia" w:ascii="仿宋_GB2312" w:hAnsi="仿宋_GB2312" w:eastAsia="仿宋_GB2312"/>
          <w:sz w:val="32"/>
          <w:szCs w:val="32"/>
        </w:rPr>
        <w:t>超过1</w:t>
      </w:r>
      <w:r>
        <w:rPr>
          <w:rFonts w:hint="eastAsia"/>
          <w:sz w:val="32"/>
          <w:szCs w:val="32"/>
          <w:lang w:val="en-US" w:eastAsia="zh-CN"/>
        </w:rPr>
        <w:t>2</w:t>
      </w:r>
      <w:r>
        <w:rPr>
          <w:rFonts w:hint="eastAsia" w:ascii="仿宋_GB2312" w:hAnsi="仿宋_GB2312" w:eastAsia="仿宋_GB2312"/>
          <w:sz w:val="32"/>
          <w:szCs w:val="32"/>
        </w:rPr>
        <w:t>个月。</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5.4.1.5 认证机构应考虑认证委托人不同班次完成的过程，以及其所证实的对每个班次的QMS控制水平来策划对不同班次实施的审核程度，以确保审核的有效性：</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（1）每次审核应至少对其中的一个班次的生产或服务的活动现场进行审核；</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w:t>
      </w:r>
      <w:r>
        <w:rPr>
          <w:rFonts w:hint="eastAsia"/>
        </w:rPr>
        <w:t>未</w:t>
      </w:r>
      <w:r>
        <w:rPr>
          <w:rFonts w:hint="eastAsia" w:ascii="仿宋_GB2312" w:hAnsi="仿宋_GB2312" w:eastAsia="仿宋_GB2312"/>
          <w:sz w:val="32"/>
          <w:szCs w:val="32"/>
        </w:rPr>
        <w:t>审核</w:t>
      </w:r>
      <w:r>
        <w:rPr>
          <w:rFonts w:hint="eastAsia"/>
          <w:lang w:val="en-US" w:eastAsia="zh-CN"/>
        </w:rPr>
        <w:t>其他班次</w:t>
      </w:r>
      <w:r>
        <w:rPr>
          <w:rFonts w:hint="default" w:ascii="仿宋_GB2312" w:hAnsi="仿宋_GB2312" w:eastAsia="仿宋_GB2312"/>
          <w:sz w:val="32"/>
          <w:szCs w:val="32"/>
        </w:rPr>
        <w:t>生产或服务活动现场</w:t>
      </w:r>
      <w:r>
        <w:rPr>
          <w:rFonts w:hint="eastAsia"/>
          <w:lang w:val="en-US" w:eastAsia="zh-CN"/>
        </w:rPr>
        <w:t>的</w:t>
      </w:r>
      <w:r>
        <w:rPr>
          <w:rFonts w:hint="eastAsia" w:ascii="仿宋_GB2312" w:hAnsi="仿宋_GB2312" w:eastAsia="仿宋_GB2312"/>
          <w:sz w:val="32"/>
          <w:szCs w:val="32"/>
        </w:rPr>
        <w:t>，应记录</w:t>
      </w:r>
      <w:r>
        <w:rPr>
          <w:rFonts w:hint="eastAsia"/>
          <w:lang w:val="en-US" w:eastAsia="zh-CN"/>
        </w:rPr>
        <w:t>未</w:t>
      </w:r>
      <w:r>
        <w:rPr>
          <w:rFonts w:hint="eastAsia" w:ascii="仿宋_GB2312" w:hAnsi="仿宋_GB2312" w:eastAsia="仿宋_GB2312"/>
          <w:sz w:val="32"/>
          <w:szCs w:val="32"/>
        </w:rPr>
        <w:t>审核的理由。</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5.4.2 审核时间</w:t>
      </w:r>
    </w:p>
    <w:p>
      <w:pPr>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5.4.2.1 审核时间包括在认证委托人现场的审核时间以及在现场审核以外实施策划、文件审核和编写审核报告等活动的时间。审核时间以人</w:t>
      </w:r>
      <w:r>
        <w:rPr>
          <w:rFonts w:hint="default" w:ascii="仿宋_GB2312" w:hAnsi="仿宋_GB2312" w:eastAsia="仿宋_GB2312"/>
          <w:sz w:val="32"/>
          <w:szCs w:val="32"/>
        </w:rPr>
        <w:t>日</w:t>
      </w:r>
      <w:r>
        <w:rPr>
          <w:rFonts w:hint="eastAsia" w:ascii="仿宋_GB2312" w:hAnsi="仿宋_GB2312" w:eastAsia="仿宋_GB2312"/>
          <w:sz w:val="32"/>
          <w:szCs w:val="32"/>
        </w:rPr>
        <w:t>计，1人</w:t>
      </w:r>
      <w:r>
        <w:rPr>
          <w:rFonts w:hint="default" w:ascii="仿宋_GB2312" w:hAnsi="仿宋_GB2312" w:eastAsia="仿宋_GB2312"/>
          <w:sz w:val="32"/>
          <w:szCs w:val="32"/>
        </w:rPr>
        <w:t>日</w:t>
      </w:r>
      <w:r>
        <w:rPr>
          <w:rFonts w:hint="eastAsia" w:ascii="仿宋_GB2312" w:hAnsi="仿宋_GB2312" w:eastAsia="仿宋_GB2312"/>
          <w:sz w:val="32"/>
          <w:szCs w:val="32"/>
        </w:rPr>
        <w:t>为8小时</w:t>
      </w:r>
      <w:r>
        <w:rPr>
          <w:rFonts w:hint="default" w:ascii="仿宋_GB2312" w:hAnsi="仿宋_GB2312" w:eastAsia="仿宋_GB2312"/>
          <w:sz w:val="32"/>
          <w:szCs w:val="32"/>
        </w:rPr>
        <w:t>，不应通过增加工作日的工作小时数以减少审核人日数。</w:t>
      </w:r>
    </w:p>
    <w:p>
      <w:pPr>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如</w:t>
      </w:r>
      <w:r>
        <w:rPr>
          <w:rFonts w:hint="default" w:ascii="仿宋_GB2312" w:hAnsi="仿宋_GB2312" w:eastAsia="仿宋_GB2312"/>
          <w:sz w:val="32"/>
          <w:szCs w:val="32"/>
        </w:rPr>
        <w:t>果认证委托人</w:t>
      </w:r>
      <w:r>
        <w:rPr>
          <w:rFonts w:hint="eastAsia"/>
          <w:lang w:val="en-US" w:eastAsia="zh-CN"/>
        </w:rPr>
        <w:t>工作日</w:t>
      </w:r>
      <w:r>
        <w:rPr>
          <w:rFonts w:hint="eastAsia" w:ascii="仿宋_GB2312" w:hAnsi="仿宋_GB2312" w:eastAsia="仿宋_GB2312"/>
          <w:sz w:val="32"/>
          <w:szCs w:val="32"/>
        </w:rPr>
        <w:t>的实际工作时间不足8小时，则应延长</w:t>
      </w:r>
      <w:r>
        <w:rPr>
          <w:rFonts w:hint="default" w:ascii="仿宋_GB2312" w:hAnsi="仿宋_GB2312" w:eastAsia="仿宋_GB2312"/>
          <w:sz w:val="32"/>
          <w:szCs w:val="32"/>
        </w:rPr>
        <w:t>现场</w:t>
      </w:r>
      <w:r>
        <w:rPr>
          <w:rFonts w:hint="eastAsia" w:ascii="仿宋_GB2312" w:hAnsi="仿宋_GB2312" w:eastAsia="仿宋_GB2312"/>
          <w:sz w:val="32"/>
          <w:szCs w:val="32"/>
        </w:rPr>
        <w:t>审核天数以满足</w:t>
      </w:r>
      <w:r>
        <w:rPr>
          <w:rFonts w:hint="default" w:ascii="仿宋_GB2312" w:hAnsi="仿宋_GB2312" w:eastAsia="仿宋_GB2312"/>
          <w:sz w:val="32"/>
          <w:szCs w:val="32"/>
        </w:rPr>
        <w:t>审核时间</w:t>
      </w:r>
      <w:r>
        <w:rPr>
          <w:rFonts w:hint="eastAsia" w:ascii="仿宋_GB2312" w:hAnsi="仿宋_GB2312" w:eastAsia="仿宋_GB2312"/>
          <w:sz w:val="32"/>
          <w:szCs w:val="32"/>
        </w:rPr>
        <w:t>要求。</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5.4.2.2 认证机构应以附录B所规定的审核时间为基础，考虑认证委托人有效人数、QMS风险类型等因素，建立文件化的不同审核类型审核时间（包括现场审核时间）的确定方法。</w:t>
      </w:r>
      <w:bookmarkStart w:id="59" w:name="_Hlk155271291"/>
      <w:r>
        <w:rPr>
          <w:rFonts w:hint="eastAsia" w:ascii="仿宋_GB2312" w:hAnsi="仿宋_GB2312" w:eastAsia="仿宋_GB2312"/>
          <w:sz w:val="32"/>
          <w:szCs w:val="32"/>
        </w:rPr>
        <w:t>不同业</w:t>
      </w:r>
      <w:r>
        <w:rPr>
          <w:rFonts w:hint="default" w:ascii="仿宋_GB2312" w:hAnsi="仿宋_GB2312" w:eastAsia="仿宋_GB2312"/>
          <w:sz w:val="32"/>
          <w:szCs w:val="32"/>
        </w:rPr>
        <w:t>务范围</w:t>
      </w:r>
      <w:r>
        <w:rPr>
          <w:rFonts w:hint="eastAsia" w:ascii="仿宋_GB2312" w:hAnsi="仿宋_GB2312" w:eastAsia="仿宋_GB2312"/>
          <w:sz w:val="32"/>
          <w:szCs w:val="32"/>
        </w:rPr>
        <w:t>QMS风险类型示例</w:t>
      </w:r>
      <w:bookmarkEnd w:id="59"/>
      <w:r>
        <w:rPr>
          <w:rFonts w:hint="eastAsia" w:ascii="仿宋_GB2312" w:hAnsi="仿宋_GB2312" w:eastAsia="仿宋_GB2312"/>
          <w:sz w:val="32"/>
          <w:szCs w:val="32"/>
        </w:rPr>
        <w:t>见附录A表A.2。</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5.4.2.3 每次审核的审核时间确定过程应形成记录，</w:t>
      </w:r>
      <w:r>
        <w:rPr>
          <w:rFonts w:hint="default" w:ascii="仿宋_GB2312" w:hAnsi="仿宋_GB2312" w:eastAsia="仿宋_GB2312"/>
          <w:sz w:val="32"/>
          <w:szCs w:val="32"/>
        </w:rPr>
        <w:t>尤其是</w:t>
      </w:r>
      <w:r>
        <w:rPr>
          <w:rFonts w:hint="eastAsia" w:ascii="仿宋_GB2312" w:hAnsi="仿宋_GB2312" w:eastAsia="仿宋_GB2312"/>
          <w:sz w:val="32"/>
          <w:szCs w:val="32"/>
        </w:rPr>
        <w:t>减少审核时间的理由，减少的</w:t>
      </w:r>
      <w:r>
        <w:rPr>
          <w:rFonts w:hint="eastAsia"/>
          <w:lang w:val="en-US" w:eastAsia="zh-CN"/>
        </w:rPr>
        <w:t>审核</w:t>
      </w:r>
      <w:r>
        <w:rPr>
          <w:rFonts w:hint="eastAsia" w:ascii="仿宋_GB2312" w:hAnsi="仿宋_GB2312" w:eastAsia="仿宋_GB2312"/>
          <w:sz w:val="32"/>
          <w:szCs w:val="32"/>
        </w:rPr>
        <w:t>时间不得超过附录B所规定的审核时间的30％，现场审核时间不得少于所确定的审核时间的80%。</w:t>
      </w:r>
      <w:r>
        <w:rPr>
          <w:rFonts w:hint="default" w:ascii="仿宋_GB2312" w:hAnsi="仿宋_GB2312" w:eastAsia="仿宋_GB2312"/>
          <w:sz w:val="32"/>
          <w:szCs w:val="32"/>
        </w:rPr>
        <w:t>如果审核人日计算后结果包括小数，宜将其调整为最接近的半</w:t>
      </w:r>
      <w:r>
        <w:rPr>
          <w:rFonts w:hint="default" w:ascii="仿宋_GB2312" w:hAnsi="仿宋_GB2312" w:eastAsia="仿宋_GB2312"/>
          <w:sz w:val="32"/>
          <w:szCs w:val="32"/>
          <w:lang w:val="en-US" w:eastAsia="zh-CN"/>
        </w:rPr>
        <w:t>人</w:t>
      </w:r>
      <w:r>
        <w:rPr>
          <w:rFonts w:hint="default" w:ascii="仿宋_GB2312" w:hAnsi="仿宋_GB2312" w:eastAsia="仿宋_GB2312"/>
          <w:sz w:val="32"/>
          <w:szCs w:val="32"/>
        </w:rPr>
        <w:t>日数。</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5.4.2.4 认证机构应建立</w:t>
      </w:r>
      <w:r>
        <w:rPr>
          <w:rFonts w:hint="default" w:ascii="仿宋_GB2312" w:hAnsi="仿宋_GB2312" w:eastAsia="仿宋_GB2312" w:cs="仿宋_GB2312"/>
          <w:sz w:val="32"/>
          <w:szCs w:val="32"/>
          <w:lang w:val="en-US" w:eastAsia="zh-CN"/>
        </w:rPr>
        <w:t>文件化的</w:t>
      </w:r>
      <w:r>
        <w:rPr>
          <w:rFonts w:hint="eastAsia" w:ascii="仿宋_GB2312" w:hAnsi="仿宋_GB2312" w:eastAsia="仿宋_GB2312"/>
          <w:sz w:val="32"/>
          <w:szCs w:val="32"/>
        </w:rPr>
        <w:t>结合审核时间确定方法，QMS和其他管理体系实施结合审核</w:t>
      </w:r>
      <w:r>
        <w:rPr>
          <w:rFonts w:hint="eastAsia"/>
          <w:sz w:val="32"/>
          <w:szCs w:val="32"/>
          <w:lang w:eastAsia="zh-CN"/>
        </w:rPr>
        <w:t>的</w:t>
      </w:r>
      <w:r>
        <w:rPr>
          <w:rFonts w:hint="eastAsia" w:ascii="仿宋_GB2312" w:hAnsi="仿宋_GB2312" w:eastAsia="仿宋_GB2312"/>
          <w:sz w:val="32"/>
          <w:szCs w:val="32"/>
        </w:rPr>
        <w:t>，结合审核的总审核时间不得少于多个单独体系所需审核时间之和的80%。</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5.4.3 多场所抽样方案</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5.4.3.1 认证机构应建立并实施</w:t>
      </w:r>
      <w:r>
        <w:rPr>
          <w:rFonts w:hint="default" w:ascii="仿宋_GB2312" w:hAnsi="仿宋_GB2312" w:eastAsia="仿宋_GB2312" w:cs="仿宋_GB2312"/>
          <w:sz w:val="32"/>
          <w:szCs w:val="32"/>
          <w:highlight w:val="none"/>
          <w:lang w:val="en-US" w:eastAsia="zh-CN"/>
        </w:rPr>
        <w:t>文件化的</w:t>
      </w:r>
      <w:r>
        <w:rPr>
          <w:rFonts w:hint="eastAsia" w:ascii="仿宋_GB2312" w:hAnsi="仿宋_GB2312" w:eastAsia="仿宋_GB2312"/>
          <w:sz w:val="32"/>
          <w:szCs w:val="32"/>
        </w:rPr>
        <w:t>多场所组织认证抽样的规则，策划并保留多场所组织的抽样及审核时间</w:t>
      </w:r>
      <w:r>
        <w:rPr>
          <w:rFonts w:hint="eastAsia"/>
        </w:rPr>
        <w:t>确定</w:t>
      </w:r>
      <w:r>
        <w:rPr>
          <w:rFonts w:hint="eastAsia" w:ascii="仿宋_GB2312" w:hAnsi="仿宋_GB2312" w:eastAsia="仿宋_GB2312"/>
          <w:sz w:val="32"/>
          <w:szCs w:val="32"/>
        </w:rPr>
        <w:t>的记录。</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5.4.3.2 多场所抽样应基于与认证委托人活动或过程性质相关的QMS风险的评价。</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 xml:space="preserve">5.4.3.3 </w:t>
      </w:r>
      <w:r>
        <w:rPr>
          <w:rFonts w:hint="eastAsia" w:ascii="仿宋_GB2312" w:hAnsi="仿宋_GB2312" w:eastAsia="仿宋_GB2312"/>
          <w:sz w:val="32"/>
          <w:szCs w:val="32"/>
        </w:rPr>
        <w:t>对</w:t>
      </w:r>
      <w:r>
        <w:rPr>
          <w:rFonts w:hint="eastAsia"/>
        </w:rPr>
        <w:t>涵盖相同活动、过程及QMS风险类型的</w:t>
      </w:r>
      <w:r>
        <w:rPr>
          <w:rFonts w:hint="eastAsia" w:ascii="仿宋_GB2312" w:hAnsi="仿宋_GB2312" w:eastAsia="仿宋_GB2312"/>
          <w:sz w:val="32"/>
          <w:szCs w:val="32"/>
        </w:rPr>
        <w:t>多个相似场所可进行抽样审核，抽样数量应不少于按以下方法计算的结果：</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rPr>
        <w:t>（1）初次认证审核：</w:t>
      </w:r>
      <m:oMath>
        <m:r>
          <m:rPr>
            <m:sty m:val="p"/>
          </m:rPr>
          <w:rPr>
            <w:rFonts w:hint="eastAsia" w:ascii="Times New Roman" w:hAnsi="Times New Roman"/>
            <w:lang w:val="en-US" w:eastAsia="zh-CN"/>
          </w:rPr>
          <m:t>Y=</m:t>
        </m:r>
        <m:rad>
          <m:radPr>
            <m:degHide m:val="1"/>
            <m:ctrlPr>
              <w:rPr>
                <w:rFonts w:hint="eastAsia" w:ascii="Cambria Math" w:hAnsi="Cambria Math"/>
                <w:lang w:val="en-US" w:eastAsia="zh-CN"/>
              </w:rPr>
            </m:ctrlPr>
          </m:radPr>
          <m:deg>
            <m:ctrlPr>
              <w:rPr>
                <w:rFonts w:hint="eastAsia" w:ascii="Cambria Math" w:hAnsi="Cambria Math"/>
                <w:lang w:val="en-US" w:eastAsia="zh-CN"/>
              </w:rPr>
            </m:ctrlPr>
          </m:deg>
          <m:e>
            <m:r>
              <m:rPr>
                <m:sty m:val="p"/>
              </m:rPr>
              <w:rPr>
                <w:rFonts w:hint="eastAsia" w:ascii="Times New Roman" w:hAnsi="Times New Roman"/>
                <w:lang w:val="en-US" w:eastAsia="zh-CN"/>
              </w:rPr>
              <m:t>X</m:t>
            </m:r>
            <m:ctrlPr>
              <w:rPr>
                <w:rFonts w:hint="eastAsia" w:ascii="Cambria Math" w:hAnsi="Cambria Math"/>
                <w:lang w:val="en-US" w:eastAsia="zh-CN"/>
              </w:rPr>
            </m:ctrlPr>
          </m:e>
        </m:rad>
      </m:oMath>
      <w:r>
        <w:rPr>
          <w:rFonts w:hint="eastAsia" w:hAnsi="Cambria Math"/>
          <w:i w:val="0"/>
          <w:highlight w:val="none"/>
          <w:lang w:val="en-US" w:eastAsia="zh-CN"/>
        </w:rPr>
        <w:t>；</w:t>
      </w:r>
    </w:p>
    <w:p>
      <w:pPr>
        <w:autoSpaceDE w:val="0"/>
        <w:autoSpaceDN w:val="0"/>
        <w:adjustRightInd w:val="0"/>
        <w:snapToGrid w:val="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（2）监督审核：</w:t>
      </w:r>
      <m:oMath>
        <m:r>
          <m:rPr>
            <m:sty m:val="p"/>
          </m:rPr>
          <w:rPr>
            <w:rFonts w:hint="eastAsia" w:ascii="Times New Roman" w:hAnsi="Times New Roman"/>
            <w:highlight w:val="none"/>
            <w:lang w:val="en-US" w:eastAsia="zh-CN"/>
          </w:rPr>
          <m:t>Y=0.6</m:t>
        </m:r>
        <m:rad>
          <m:radPr>
            <m:degHide m:val="1"/>
            <m:ctrlPr>
              <w:rPr>
                <w:rFonts w:hint="eastAsia" w:ascii="Cambria Math" w:hAnsi="Cambria Math"/>
                <w:highlight w:val="none"/>
                <w:lang w:val="en-US" w:eastAsia="zh-CN"/>
              </w:rPr>
            </m:ctrlPr>
          </m:radPr>
          <m:deg>
            <m:ctrlPr>
              <w:rPr>
                <w:rFonts w:hint="eastAsia" w:ascii="Cambria Math" w:hAnsi="Cambria Math"/>
                <w:highlight w:val="none"/>
                <w:lang w:val="en-US" w:eastAsia="zh-CN"/>
              </w:rPr>
            </m:ctrlPr>
          </m:deg>
          <m:e>
            <m:r>
              <m:rPr>
                <m:sty m:val="p"/>
              </m:rPr>
              <w:rPr>
                <w:rFonts w:hint="eastAsia" w:ascii="Times New Roman" w:hAnsi="Times New Roman"/>
                <w:highlight w:val="none"/>
                <w:lang w:val="en-US" w:eastAsia="zh-CN"/>
              </w:rPr>
              <m:t>X</m:t>
            </m:r>
            <m:ctrlPr>
              <w:rPr>
                <w:rFonts w:hint="eastAsia" w:ascii="Cambria Math" w:hAnsi="Cambria Math"/>
                <w:highlight w:val="none"/>
                <w:lang w:val="en-US" w:eastAsia="zh-CN"/>
              </w:rPr>
            </m:ctrlPr>
          </m:e>
        </m:rad>
      </m:oMath>
      <w:r>
        <w:rPr>
          <w:rFonts w:hint="eastAsia" w:hAnsi="Cambria Math"/>
          <w:i w:val="0"/>
          <w:highlight w:val="none"/>
          <w:lang w:val="en-US" w:eastAsia="zh-CN"/>
        </w:rPr>
        <w:t>；</w:t>
      </w:r>
    </w:p>
    <w:p>
      <w:pPr>
        <w:autoSpaceDE w:val="0"/>
        <w:autoSpaceDN w:val="0"/>
        <w:adjustRightInd w:val="0"/>
        <w:snapToGrid w:val="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（3）再认证审核：</w:t>
      </w:r>
      <m:oMath>
        <m:r>
          <m:rPr>
            <m:sty m:val="p"/>
          </m:rPr>
          <w:rPr>
            <w:rFonts w:hint="eastAsia" w:ascii="Times New Roman" w:hAnsi="Times New Roman"/>
            <w:highlight w:val="none"/>
            <w:lang w:val="en-US" w:eastAsia="zh-CN"/>
          </w:rPr>
          <m:t>Y</m:t>
        </m:r>
        <m:r>
          <m:rPr>
            <m:sty m:val="p"/>
          </m:rPr>
          <w:rPr>
            <w:rFonts w:hint="eastAsia" w:ascii="Times New Roman" w:hAnsi="Times New Roman"/>
            <w:highlight w:val="none"/>
          </w:rPr>
          <m:t>=</m:t>
        </m:r>
        <m:r>
          <m:rPr>
            <m:sty m:val="p"/>
          </m:rPr>
          <w:rPr>
            <w:rFonts w:hint="eastAsia" w:ascii="Times New Roman" w:hAnsi="Times New Roman"/>
            <w:highlight w:val="none"/>
            <w:lang w:val="en-US" w:eastAsia="zh-CN"/>
          </w:rPr>
          <m:t>0.8</m:t>
        </m:r>
        <m:rad>
          <m:radPr>
            <m:degHide m:val="1"/>
            <m:ctrlPr>
              <w:rPr>
                <w:rFonts w:hint="eastAsia" w:ascii="Cambria Math" w:hAnsi="Cambria Math"/>
                <w:highlight w:val="none"/>
                <w:lang w:val="en-US" w:eastAsia="zh-CN"/>
              </w:rPr>
            </m:ctrlPr>
          </m:radPr>
          <m:deg>
            <m:ctrlPr>
              <w:rPr>
                <w:rFonts w:hint="eastAsia" w:ascii="Cambria Math" w:hAnsi="Cambria Math"/>
                <w:highlight w:val="none"/>
                <w:lang w:val="en-US" w:eastAsia="zh-CN"/>
              </w:rPr>
            </m:ctrlPr>
          </m:deg>
          <m:e>
            <m:r>
              <m:rPr>
                <m:sty m:val="p"/>
              </m:rPr>
              <w:rPr>
                <w:rFonts w:hint="eastAsia" w:ascii="Times New Roman" w:hAnsi="Times New Roman"/>
                <w:highlight w:val="none"/>
                <w:lang w:val="en-US" w:eastAsia="zh-CN"/>
              </w:rPr>
              <m:t>X</m:t>
            </m:r>
            <m:ctrlPr>
              <w:rPr>
                <w:rFonts w:hint="eastAsia" w:ascii="Cambria Math" w:hAnsi="Cambria Math"/>
                <w:highlight w:val="none"/>
                <w:lang w:val="en-US" w:eastAsia="zh-CN"/>
              </w:rPr>
            </m:ctrlPr>
          </m:e>
        </m:rad>
      </m:oMath>
      <w:r>
        <w:rPr>
          <w:rFonts w:hint="eastAsia"/>
          <w:sz w:val="32"/>
          <w:szCs w:val="32"/>
          <w:highlight w:val="none"/>
          <w:lang w:eastAsia="zh-CN"/>
        </w:rPr>
        <w:t>。</w:t>
      </w:r>
    </w:p>
    <w:p>
      <w:pPr>
        <w:autoSpaceDE/>
        <w:autoSpaceDN/>
        <w:adjustRightInd/>
        <w:snapToGrid/>
        <w:spacing w:line="240" w:lineRule="auto"/>
        <w:ind w:firstLine="480" w:firstLineChars="200"/>
        <w:rPr>
          <w:rFonts w:hint="eastAsia" w:ascii="仿宋_GB2312" w:hAnsi="仿宋_GB2312" w:eastAsia="仿宋_GB2312"/>
          <w:sz w:val="24"/>
          <w:szCs w:val="32"/>
        </w:rPr>
      </w:pPr>
      <w:r>
        <w:rPr>
          <w:rFonts w:hint="eastAsia" w:ascii="仿宋_GB2312" w:hAnsi="仿宋_GB2312" w:eastAsia="仿宋_GB2312"/>
          <w:sz w:val="24"/>
          <w:szCs w:val="32"/>
        </w:rPr>
        <w:t>注：其中Y为抽样的数量，结果向上取整；X为相似场所的总体数量。</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5.4.3.4 对多个非相似场所，则不应抽样，初审和再认证审核应当逐一到各场所进行审核。监督审核应抽取不少于30%的场所进行审核，且每次审核均应包括中心职能部门。第二次监督审核选取的场所通常不同于第一次监督审核所选取的场所。</w:t>
      </w:r>
    </w:p>
    <w:p>
      <w:pPr>
        <w:ind w:firstLineChars="200"/>
        <w:rPr>
          <w:rFonts w:hint="eastAsia" w:ascii="仿宋_GB2312" w:hAnsi="仿宋_GB2312" w:eastAsia="仿宋_GB2312"/>
          <w:sz w:val="32"/>
          <w:szCs w:val="32"/>
        </w:rPr>
      </w:pPr>
      <w:r>
        <w:rPr>
          <w:rFonts w:hint="default" w:ascii="仿宋_GB2312" w:hAnsi="仿宋_GB2312" w:eastAsia="仿宋_GB2312"/>
          <w:sz w:val="32"/>
          <w:szCs w:val="32"/>
        </w:rPr>
        <w:t>5.4.3.5</w:t>
      </w:r>
      <w:r>
        <w:rPr>
          <w:rFonts w:hint="eastAsia" w:ascii="仿宋_GB2312" w:hAnsi="仿宋_GB2312" w:eastAsia="仿宋_GB2312"/>
          <w:sz w:val="32"/>
          <w:szCs w:val="32"/>
        </w:rPr>
        <w:t>分场所审核人日的计算方法参见5.4.2，且现场审核时间不得少于依据附录B所确定的现场审核时间的50%。</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5.4.4 组建审核组</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5.4.4.1 认证机构应根据实现审核目的所需的能力和公正性要求组建审核组，</w:t>
      </w:r>
      <w:r>
        <w:rPr>
          <w:rFonts w:hint="eastAsia"/>
          <w:lang w:val="en-US" w:eastAsia="zh-CN"/>
        </w:rPr>
        <w:t>至少1名实施第一阶段审核的审核员应参加第二阶段审核，</w:t>
      </w:r>
      <w:r>
        <w:rPr>
          <w:rFonts w:hint="eastAsia" w:ascii="仿宋_GB2312" w:hAnsi="仿宋_GB2312" w:eastAsia="仿宋_GB2312"/>
          <w:sz w:val="32"/>
          <w:szCs w:val="32"/>
        </w:rPr>
        <w:t>每个审核组应包括：</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（1）审核组长</w:t>
      </w:r>
      <w:r>
        <w:rPr>
          <w:rFonts w:hint="default" w:ascii="仿宋_GB2312" w:hAnsi="仿宋_GB2312" w:eastAsia="仿宋_GB2312"/>
          <w:sz w:val="32"/>
          <w:szCs w:val="32"/>
        </w:rPr>
        <w:t>：</w:t>
      </w:r>
      <w:r>
        <w:rPr>
          <w:rFonts w:hint="eastAsia"/>
        </w:rPr>
        <w:t>认证机构应建立并实施审核组长的选择、培训以及任用的管理制度</w:t>
      </w:r>
      <w:r>
        <w:rPr>
          <w:rFonts w:hint="default" w:ascii="仿宋_GB2312" w:hAnsi="仿宋_GB2312" w:eastAsia="仿宋_GB2312"/>
          <w:sz w:val="32"/>
          <w:szCs w:val="32"/>
        </w:rPr>
        <w:t>；</w:t>
      </w:r>
      <w:r>
        <w:rPr>
          <w:rFonts w:hint="eastAsia" w:ascii="仿宋_GB2312" w:hAnsi="仿宋_GB2312" w:eastAsia="仿宋_GB2312"/>
          <w:sz w:val="32"/>
          <w:szCs w:val="32"/>
        </w:rPr>
        <w:t>审核组长应当具有管理和领导审核组达成审核目标的知识和技能，其能力应至少满足GB/T 19011《管理体系审核指南》中对审核组长的通用要求;</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（2）至少</w:t>
      </w:r>
      <w:r>
        <w:rPr>
          <w:rFonts w:hint="default" w:ascii="仿宋_GB2312" w:hAnsi="仿宋_GB2312" w:eastAsia="仿宋_GB2312"/>
          <w:sz w:val="32"/>
          <w:szCs w:val="32"/>
        </w:rPr>
        <w:t>1</w:t>
      </w:r>
      <w:r>
        <w:rPr>
          <w:rFonts w:hint="eastAsia" w:ascii="仿宋_GB2312" w:hAnsi="仿宋_GB2312" w:eastAsia="仿宋_GB2312"/>
          <w:sz w:val="32"/>
          <w:szCs w:val="32"/>
        </w:rPr>
        <w:t>名与认证委托人所属认证业务范围相匹配的QMS专业人员（专业</w:t>
      </w:r>
      <w:r>
        <w:rPr>
          <w:rFonts w:hint="eastAsia"/>
          <w:sz w:val="32"/>
          <w:szCs w:val="32"/>
          <w:lang w:val="en-US" w:eastAsia="zh-CN"/>
        </w:rPr>
        <w:t>领域</w:t>
      </w:r>
      <w:r>
        <w:rPr>
          <w:rFonts w:hint="eastAsia" w:ascii="仿宋_GB2312" w:hAnsi="仿宋_GB2312" w:eastAsia="仿宋_GB2312"/>
          <w:sz w:val="32"/>
          <w:szCs w:val="32"/>
        </w:rPr>
        <w:t>审核员或技术专家）。QMS和其他管理体系实施结合审核的，审核组还应包括其他管理体系的专业人员，确保专业人员的能力覆盖实施结合审核的全部管理体系;</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（3）至少</w:t>
      </w:r>
      <w:r>
        <w:rPr>
          <w:rFonts w:hint="default" w:ascii="仿宋_GB2312" w:hAnsi="仿宋_GB2312" w:eastAsia="仿宋_GB2312"/>
          <w:sz w:val="32"/>
          <w:szCs w:val="32"/>
        </w:rPr>
        <w:t>1</w:t>
      </w:r>
      <w:r>
        <w:rPr>
          <w:rFonts w:hint="eastAsia" w:ascii="仿宋_GB2312" w:hAnsi="仿宋_GB2312" w:eastAsia="仿宋_GB2312"/>
          <w:sz w:val="32"/>
          <w:szCs w:val="32"/>
        </w:rPr>
        <w:t>名认证机构的专职审核员，</w:t>
      </w:r>
      <w:r>
        <w:rPr>
          <w:rFonts w:hint="eastAsia" w:ascii="仿宋_GB2312" w:hAnsi="仿宋_GB2312" w:eastAsia="仿宋_GB2312"/>
          <w:sz w:val="32"/>
          <w:szCs w:val="32"/>
          <w:lang w:bidi="ar"/>
        </w:rPr>
        <w:t>并确保专职审核员</w:t>
      </w:r>
      <w:r>
        <w:rPr>
          <w:rFonts w:hint="default" w:ascii="仿宋_GB2312" w:hAnsi="仿宋_GB2312" w:eastAsia="仿宋_GB2312"/>
          <w:sz w:val="32"/>
          <w:szCs w:val="32"/>
          <w:lang w:bidi="ar"/>
        </w:rPr>
        <w:t>全程参与</w:t>
      </w:r>
      <w:r>
        <w:rPr>
          <w:rFonts w:hint="eastAsia" w:ascii="仿宋_GB2312" w:hAnsi="仿宋_GB2312" w:eastAsia="仿宋_GB2312"/>
          <w:sz w:val="32"/>
          <w:szCs w:val="32"/>
          <w:lang w:bidi="ar"/>
        </w:rPr>
        <w:t>QMS审核过程。</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5.4.4.2 技术专家主要负责为审核组提供技术支持，不作为审核员实施审核，不计入审核时间。</w:t>
      </w:r>
    </w:p>
    <w:p>
      <w:pPr>
        <w:spacing w:line="240" w:lineRule="auto"/>
        <w:ind w:firstLine="640" w:firstLineChars="200"/>
        <w:rPr>
          <w:rFonts w:hint="eastAsia" w:ascii="仿宋_GB2312" w:hAnsi="仿宋_GB2312" w:eastAsia="仿宋_GB2312"/>
          <w:kern w:val="2"/>
          <w:sz w:val="32"/>
          <w:szCs w:val="32"/>
        </w:rPr>
      </w:pPr>
      <w:r>
        <w:rPr>
          <w:rFonts w:hint="eastAsia" w:ascii="仿宋_GB2312" w:hAnsi="仿宋_GB2312" w:eastAsia="仿宋_GB2312"/>
          <w:sz w:val="32"/>
          <w:szCs w:val="32"/>
        </w:rPr>
        <w:t>5.4.4.3 实习审核员应在正式审核员的指导下参加审核，不计入审核时间，其在审核过程中的活动由负责指导的正式审核员承担责任。审核组中实习审核员的数量不得超过正式审核员的数量。</w:t>
      </w:r>
    </w:p>
    <w:p>
      <w:pPr>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kern w:val="2"/>
          <w:sz w:val="32"/>
          <w:szCs w:val="32"/>
        </w:rPr>
        <w:t>5.4.4.4 审核组成员不得与</w:t>
      </w:r>
      <w:r>
        <w:rPr>
          <w:rFonts w:hint="eastAsia" w:ascii="仿宋_GB2312" w:hAnsi="仿宋_GB2312" w:eastAsia="仿宋_GB2312"/>
          <w:sz w:val="32"/>
          <w:szCs w:val="32"/>
          <w:shd w:val="clear" w:color="auto" w:fill="auto"/>
        </w:rPr>
        <w:t>认证委托人</w:t>
      </w:r>
      <w:r>
        <w:rPr>
          <w:rFonts w:hint="eastAsia" w:ascii="仿宋_GB2312" w:hAnsi="仿宋_GB2312" w:eastAsia="仿宋_GB2312"/>
          <w:kern w:val="2"/>
          <w:sz w:val="32"/>
          <w:szCs w:val="32"/>
        </w:rPr>
        <w:t>存在利益关系。</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5.4.</w:t>
      </w:r>
      <w:r>
        <w:rPr>
          <w:rFonts w:hint="eastAsia"/>
          <w:lang w:eastAsia="zh-CN"/>
        </w:rPr>
        <w:t>5</w:t>
      </w:r>
      <w:r>
        <w:rPr>
          <w:rFonts w:hint="eastAsia" w:ascii="仿宋_GB2312" w:hAnsi="仿宋_GB2312" w:eastAsia="仿宋_GB2312"/>
          <w:sz w:val="32"/>
          <w:szCs w:val="32"/>
        </w:rPr>
        <w:t xml:space="preserve"> 审核计划</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w:t>
      </w:r>
      <w:r>
        <w:rPr>
          <w:rFonts w:hint="eastAsia"/>
          <w:lang w:eastAsia="zh-CN"/>
        </w:rPr>
        <w:t>5</w:t>
      </w:r>
      <w:r>
        <w:rPr>
          <w:rFonts w:hint="eastAsia" w:ascii="仿宋_GB2312" w:hAnsi="仿宋_GB2312" w:eastAsia="仿宋_GB2312"/>
          <w:sz w:val="32"/>
          <w:szCs w:val="32"/>
        </w:rPr>
        <w:t>.1 认证机构应依据审核方案</w:t>
      </w:r>
      <w:r>
        <w:rPr>
          <w:rFonts w:hint="eastAsia"/>
        </w:rPr>
        <w:t>制定</w:t>
      </w:r>
      <w:r>
        <w:rPr>
          <w:rFonts w:hint="eastAsia" w:ascii="仿宋_GB2312" w:hAnsi="仿宋_GB2312" w:eastAsia="仿宋_GB2312"/>
          <w:sz w:val="32"/>
          <w:szCs w:val="32"/>
        </w:rPr>
        <w:t>每次现场审核</w:t>
      </w:r>
      <w:r>
        <w:rPr>
          <w:rFonts w:hint="eastAsia"/>
          <w:lang w:eastAsia="zh-CN"/>
        </w:rPr>
        <w:t>的</w:t>
      </w:r>
      <w:r>
        <w:rPr>
          <w:rFonts w:hint="eastAsia" w:ascii="仿宋_GB2312" w:hAnsi="仿宋_GB2312" w:eastAsia="仿宋_GB2312"/>
          <w:sz w:val="32"/>
          <w:szCs w:val="32"/>
        </w:rPr>
        <w:t>审核计划。审核计划至少包括：审核目的、审核准则、审核范围、现场审核的日期、时间安排和场所、审核组成员及审核任务安排。其中，审核员应注明QMS审核员注册号，专业</w:t>
      </w:r>
      <w:r>
        <w:rPr>
          <w:rFonts w:hint="eastAsia"/>
          <w:sz w:val="32"/>
          <w:szCs w:val="32"/>
          <w:lang w:val="en-US" w:eastAsia="zh-CN"/>
        </w:rPr>
        <w:t>领域</w:t>
      </w:r>
      <w:r>
        <w:rPr>
          <w:rFonts w:hint="eastAsia" w:ascii="仿宋_GB2312" w:hAnsi="仿宋_GB2312" w:eastAsia="仿宋_GB2312"/>
          <w:sz w:val="32"/>
          <w:szCs w:val="32"/>
        </w:rPr>
        <w:t>审核员和技术专家应标明专业代码，</w:t>
      </w:r>
      <w:r>
        <w:rPr>
          <w:rFonts w:hint="default" w:ascii="仿宋_GB2312" w:hAnsi="仿宋_GB2312" w:eastAsia="仿宋_GB2312"/>
          <w:sz w:val="32"/>
          <w:szCs w:val="32"/>
          <w:lang w:val="en-US" w:eastAsia="zh-CN"/>
        </w:rPr>
        <w:t>兼职审核员和</w:t>
      </w:r>
      <w:r>
        <w:rPr>
          <w:rFonts w:hint="eastAsia" w:ascii="仿宋_GB2312" w:hAnsi="仿宋_GB2312" w:eastAsia="仿宋_GB2312"/>
          <w:sz w:val="32"/>
          <w:szCs w:val="32"/>
        </w:rPr>
        <w:t>在职技术专家应注明工作单位。</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w:t>
      </w:r>
      <w:r>
        <w:rPr>
          <w:rFonts w:hint="eastAsia"/>
          <w:lang w:eastAsia="zh-CN"/>
        </w:rPr>
        <w:t>5</w:t>
      </w:r>
      <w:r>
        <w:rPr>
          <w:rFonts w:hint="eastAsia" w:ascii="仿宋_GB2312" w:hAnsi="仿宋_GB2312" w:eastAsia="仿宋_GB2312"/>
          <w:sz w:val="32"/>
          <w:szCs w:val="32"/>
        </w:rPr>
        <w:t>.2 现场审核应安排在认证委托人的生产或服务处于正常运行时进行。</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5.4.</w:t>
      </w:r>
      <w:r>
        <w:rPr>
          <w:rFonts w:hint="eastAsia"/>
          <w:lang w:eastAsia="zh-CN"/>
        </w:rPr>
        <w:t>5</w:t>
      </w:r>
      <w:r>
        <w:rPr>
          <w:rFonts w:hint="eastAsia" w:ascii="仿宋_GB2312" w:hAnsi="仿宋_GB2312" w:eastAsia="仿宋_GB2312"/>
          <w:sz w:val="32"/>
          <w:szCs w:val="32"/>
        </w:rPr>
        <w:t>.3 现场审核开始前，应将审核计划提交给认证委托人并经其确认。如需要临时调整审核计划，应经双方协商一致后实施。</w:t>
      </w:r>
    </w:p>
    <w:p>
      <w:pPr>
        <w:pStyle w:val="3"/>
        <w:autoSpaceDE w:val="0"/>
        <w:autoSpaceDN w:val="0"/>
        <w:adjustRightInd w:val="0"/>
        <w:snapToGrid w:val="0"/>
        <w:ind w:firstLineChars="200"/>
        <w:outlineLvl w:val="1"/>
      </w:pPr>
      <w:bookmarkStart w:id="60" w:name="_Toc3431"/>
      <w:bookmarkStart w:id="61" w:name="_Toc171603622"/>
      <w:bookmarkStart w:id="62" w:name="_Toc10057"/>
      <w:bookmarkStart w:id="63" w:name="_Toc26262"/>
      <w:bookmarkStart w:id="64" w:name="_Toc20378"/>
      <w:r>
        <w:t>5.5 实施审核</w:t>
      </w:r>
      <w:bookmarkEnd w:id="60"/>
      <w:bookmarkEnd w:id="61"/>
      <w:bookmarkEnd w:id="62"/>
      <w:bookmarkEnd w:id="63"/>
      <w:bookmarkEnd w:id="64"/>
    </w:p>
    <w:p>
      <w:pPr>
        <w:autoSpaceDE/>
        <w:autoSpaceDN/>
        <w:adjustRightInd/>
        <w:snapToGrid/>
        <w:spacing w:line="240" w:lineRule="auto"/>
        <w:ind w:firstLine="640" w:firstLineChars="200"/>
        <w:rPr>
          <w:rFonts w:hint="eastAsia"/>
        </w:rPr>
      </w:pPr>
      <w:r>
        <w:rPr>
          <w:rFonts w:hint="eastAsia" w:ascii="仿宋_GB2312" w:hAnsi="仿宋_GB2312" w:eastAsia="仿宋_GB2312"/>
          <w:sz w:val="32"/>
          <w:szCs w:val="32"/>
        </w:rPr>
        <w:t xml:space="preserve">5.5.1 </w:t>
      </w:r>
      <w:r>
        <w:rPr>
          <w:rFonts w:hint="eastAsia"/>
        </w:rPr>
        <w:t>QMS认证审核应在认证委托人的现场实施，</w:t>
      </w:r>
      <w:r>
        <w:rPr>
          <w:rFonts w:hint="eastAsia"/>
          <w:lang w:val="en-US" w:eastAsia="zh-CN"/>
        </w:rPr>
        <w:t>包括</w:t>
      </w:r>
      <w:r>
        <w:rPr>
          <w:rFonts w:hint="eastAsia"/>
        </w:rPr>
        <w:t>初次认证</w:t>
      </w:r>
      <w:r>
        <w:rPr>
          <w:rFonts w:hint="eastAsia"/>
          <w:highlight w:val="none"/>
          <w:lang w:val="en-US" w:eastAsia="zh-CN"/>
        </w:rPr>
        <w:t>审核</w:t>
      </w:r>
      <w:r>
        <w:rPr>
          <w:rFonts w:hint="eastAsia"/>
          <w:highlight w:val="none"/>
        </w:rPr>
        <w:t>以及认证周期内的每年度的监督审核、再认证审核</w:t>
      </w:r>
      <w:r>
        <w:rPr>
          <w:rFonts w:hint="default" w:ascii="Times New Roman" w:hAnsi="Times New Roman" w:cs="Times New Roman"/>
          <w:highlight w:val="none"/>
        </w:rPr>
        <w:t>和</w:t>
      </w:r>
      <w:r>
        <w:rPr>
          <w:rFonts w:hint="eastAsia" w:ascii="Times New Roman" w:hAnsi="Times New Roman" w:cs="Times New Roman"/>
          <w:highlight w:val="none"/>
          <w:lang w:val="en-US" w:eastAsia="zh-CN"/>
        </w:rPr>
        <w:t>特殊审核</w:t>
      </w:r>
      <w:r>
        <w:rPr>
          <w:rFonts w:hint="eastAsia"/>
        </w:rPr>
        <w:t>。</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lang w:val="en-US" w:eastAsia="zh-CN"/>
        </w:rPr>
        <w:t xml:space="preserve">5.5.2 </w:t>
      </w:r>
      <w:r>
        <w:rPr>
          <w:rFonts w:hint="eastAsia" w:ascii="仿宋_GB2312" w:hAnsi="仿宋_GB2312" w:eastAsia="仿宋_GB2312"/>
          <w:sz w:val="32"/>
          <w:szCs w:val="32"/>
        </w:rPr>
        <w:t>审核组应按照审核计划实施审核，并采用中文记录审核过程，可</w:t>
      </w:r>
      <w:r>
        <w:rPr>
          <w:rFonts w:hint="eastAsia"/>
          <w:lang w:val="en-US" w:eastAsia="zh-CN"/>
        </w:rPr>
        <w:t>补充</w:t>
      </w:r>
      <w:r>
        <w:rPr>
          <w:rFonts w:hint="eastAsia" w:ascii="仿宋_GB2312" w:hAnsi="仿宋_GB2312" w:eastAsia="仿宋_GB2312"/>
          <w:sz w:val="32"/>
          <w:szCs w:val="32"/>
        </w:rPr>
        <w:t>使用图片</w:t>
      </w:r>
      <w:r>
        <w:rPr>
          <w:rFonts w:hint="eastAsia"/>
          <w:sz w:val="32"/>
          <w:szCs w:val="32"/>
          <w:lang w:eastAsia="zh-CN"/>
        </w:rPr>
        <w:t>/</w:t>
      </w:r>
      <w:r>
        <w:rPr>
          <w:rFonts w:hint="eastAsia" w:ascii="仿宋_GB2312" w:hAnsi="仿宋_GB2312" w:eastAsia="仿宋_GB2312"/>
          <w:sz w:val="32"/>
          <w:szCs w:val="32"/>
        </w:rPr>
        <w:t>音像</w:t>
      </w:r>
      <w:r>
        <w:rPr>
          <w:rFonts w:hint="eastAsia"/>
          <w:lang w:val="en-US" w:eastAsia="zh-CN"/>
        </w:rPr>
        <w:t>作为记录</w:t>
      </w:r>
      <w:r>
        <w:rPr>
          <w:rFonts w:hint="eastAsia" w:ascii="仿宋_GB2312" w:hAnsi="仿宋_GB2312" w:eastAsia="仿宋_GB2312"/>
          <w:sz w:val="32"/>
          <w:szCs w:val="32"/>
        </w:rPr>
        <w:t>。</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eastAsia" w:ascii="仿宋_GB2312" w:hAnsi="仿宋_GB2312" w:eastAsia="仿宋_GB2312"/>
          <w:sz w:val="32"/>
          <w:szCs w:val="32"/>
          <w:shd w:val="clear" w:color="auto" w:fill="auto"/>
        </w:rPr>
        <w:t>5.5.</w:t>
      </w:r>
      <w:r>
        <w:rPr>
          <w:rFonts w:hint="eastAsia"/>
          <w:lang w:eastAsia="zh-CN"/>
        </w:rPr>
        <w:t>3</w:t>
      </w:r>
      <w:r>
        <w:rPr>
          <w:rFonts w:hint="eastAsia" w:ascii="仿宋_GB2312" w:hAnsi="仿宋_GB2312" w:eastAsia="仿宋_GB2312"/>
          <w:sz w:val="32"/>
          <w:szCs w:val="32"/>
          <w:shd w:val="clear" w:color="auto" w:fill="auto"/>
        </w:rPr>
        <w:t xml:space="preserve"> 审核组应会同认证委托人召开首、末次会议，认证委托人的最高管理者、QMS相关职能部门负责人应参加</w:t>
      </w:r>
      <w:r>
        <w:rPr>
          <w:rFonts w:hint="default" w:ascii="仿宋_GB2312" w:hAnsi="仿宋_GB2312" w:eastAsia="仿宋_GB2312"/>
          <w:sz w:val="32"/>
          <w:szCs w:val="32"/>
          <w:shd w:val="clear" w:color="auto" w:fill="auto"/>
        </w:rPr>
        <w:t>首、末次</w:t>
      </w:r>
      <w:r>
        <w:rPr>
          <w:rFonts w:hint="eastAsia" w:ascii="仿宋_GB2312" w:hAnsi="仿宋_GB2312" w:eastAsia="仿宋_GB2312"/>
          <w:sz w:val="32"/>
          <w:szCs w:val="32"/>
          <w:shd w:val="clear" w:color="auto" w:fill="auto"/>
        </w:rPr>
        <w:t>会议</w:t>
      </w:r>
      <w:r>
        <w:rPr>
          <w:rFonts w:hint="default" w:ascii="仿宋_GB2312" w:hAnsi="仿宋_GB2312" w:eastAsia="仿宋_GB2312"/>
          <w:sz w:val="32"/>
          <w:szCs w:val="32"/>
          <w:shd w:val="clear" w:color="auto" w:fill="auto"/>
        </w:rPr>
        <w:t>，认证机构应保留首、末次会议签到记录、图片</w:t>
      </w:r>
      <w:r>
        <w:rPr>
          <w:rFonts w:hint="eastAsia"/>
          <w:lang w:eastAsia="zh-CN"/>
        </w:rPr>
        <w:t>/</w:t>
      </w:r>
      <w:r>
        <w:rPr>
          <w:rFonts w:hint="default" w:ascii="仿宋_GB2312" w:hAnsi="仿宋_GB2312" w:eastAsia="仿宋_GB2312"/>
          <w:sz w:val="32"/>
          <w:szCs w:val="32"/>
          <w:shd w:val="clear" w:color="auto" w:fill="auto"/>
        </w:rPr>
        <w:t>音像证明材料。</w:t>
      </w:r>
      <w:r>
        <w:rPr>
          <w:rFonts w:hint="eastAsia" w:ascii="仿宋_GB2312" w:hAnsi="仿宋_GB2312" w:eastAsia="仿宋_GB2312"/>
          <w:sz w:val="32"/>
          <w:szCs w:val="32"/>
          <w:shd w:val="clear" w:color="auto" w:fill="auto"/>
        </w:rPr>
        <w:t>认证委托人的</w:t>
      </w:r>
      <w:r>
        <w:rPr>
          <w:rFonts w:hint="default" w:ascii="仿宋_GB2312" w:hAnsi="仿宋_GB2312" w:eastAsia="仿宋_GB2312"/>
          <w:sz w:val="32"/>
          <w:szCs w:val="32"/>
          <w:shd w:val="clear" w:color="auto" w:fill="auto"/>
        </w:rPr>
        <w:t>最高管理者不能参加首、末次会议的，应由获得书面授权的其他高级管理层成员参会，审核组应记录最高管理者缺席理由。</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default" w:ascii="仿宋_GB2312" w:hAnsi="仿宋_GB2312" w:eastAsia="仿宋_GB2312"/>
          <w:sz w:val="32"/>
          <w:szCs w:val="32"/>
          <w:shd w:val="clear" w:color="auto" w:fill="auto"/>
        </w:rPr>
        <w:t>5.5.</w:t>
      </w:r>
      <w:r>
        <w:rPr>
          <w:rFonts w:hint="eastAsia"/>
          <w:lang w:eastAsia="zh-CN"/>
        </w:rPr>
        <w:t>4</w:t>
      </w:r>
      <w:r>
        <w:rPr>
          <w:rFonts w:hint="default" w:ascii="仿宋_GB2312" w:hAnsi="仿宋_GB2312" w:eastAsia="仿宋_GB2312"/>
          <w:sz w:val="32"/>
          <w:szCs w:val="32"/>
          <w:shd w:val="clear" w:color="auto" w:fill="auto"/>
        </w:rPr>
        <w:t xml:space="preserve"> 审核组应通过面对面访谈等形式，对认证委托人的最高管理者在QMS中发挥领导作用的情况进行重点审核，并保留现场图片</w:t>
      </w:r>
      <w:r>
        <w:rPr>
          <w:rFonts w:hint="eastAsia"/>
          <w:lang w:eastAsia="zh-CN"/>
        </w:rPr>
        <w:t>/</w:t>
      </w:r>
      <w:r>
        <w:rPr>
          <w:rFonts w:hint="default" w:ascii="仿宋_GB2312" w:hAnsi="仿宋_GB2312" w:eastAsia="仿宋_GB2312"/>
          <w:sz w:val="32"/>
          <w:szCs w:val="32"/>
          <w:shd w:val="clear" w:color="auto" w:fill="auto"/>
        </w:rPr>
        <w:t>音像、审核记录等证明材料。最高管理者不熟悉组织自身的质量方针、质量目标，未亲自参与并推动QMS实施的，认证审核应不予通过。</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eastAsia" w:ascii="仿宋_GB2312" w:hAnsi="仿宋_GB2312" w:eastAsia="仿宋_GB2312"/>
          <w:sz w:val="32"/>
          <w:szCs w:val="32"/>
          <w:shd w:val="clear" w:color="auto" w:fill="auto"/>
        </w:rPr>
        <w:t>5.5.</w:t>
      </w:r>
      <w:r>
        <w:rPr>
          <w:rFonts w:hint="eastAsia"/>
          <w:lang w:eastAsia="zh-CN"/>
        </w:rPr>
        <w:t>5</w:t>
      </w:r>
      <w:r>
        <w:rPr>
          <w:rFonts w:hint="eastAsia" w:ascii="仿宋_GB2312" w:hAnsi="仿宋_GB2312" w:eastAsia="仿宋_GB2312"/>
          <w:sz w:val="32"/>
          <w:szCs w:val="32"/>
          <w:shd w:val="clear" w:color="auto" w:fill="auto"/>
        </w:rPr>
        <w:t xml:space="preserve"> 发生下列情况</w:t>
      </w:r>
      <w:r>
        <w:rPr>
          <w:rFonts w:hint="eastAsia"/>
          <w:sz w:val="32"/>
          <w:szCs w:val="32"/>
          <w:shd w:val="clear" w:color="auto" w:fill="auto"/>
          <w:lang w:eastAsia="zh-CN"/>
        </w:rPr>
        <w:t>的</w:t>
      </w:r>
      <w:r>
        <w:rPr>
          <w:rFonts w:hint="eastAsia" w:ascii="仿宋_GB2312" w:hAnsi="仿宋_GB2312" w:eastAsia="仿宋_GB2312"/>
          <w:sz w:val="32"/>
          <w:szCs w:val="32"/>
          <w:shd w:val="clear" w:color="auto" w:fill="auto"/>
        </w:rPr>
        <w:t>，审核组应向认证机构报告后终止审核：</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eastAsia" w:ascii="仿宋_GB2312" w:hAnsi="仿宋_GB2312" w:eastAsia="仿宋_GB2312"/>
          <w:sz w:val="32"/>
          <w:szCs w:val="32"/>
          <w:shd w:val="clear" w:color="auto" w:fill="auto"/>
        </w:rPr>
        <w:t>（1）认证委托人对审核活动不予配合，审核活动无法进行；</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default" w:ascii="仿宋_GB2312" w:hAnsi="仿宋_GB2312" w:eastAsia="仿宋_GB2312"/>
          <w:sz w:val="32"/>
          <w:szCs w:val="32"/>
          <w:shd w:val="clear" w:color="auto" w:fill="auto"/>
        </w:rPr>
        <w:t>（2）认证委托人的最高管理者或经授权的高级管理层成员缺席首、末次会议；</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eastAsia" w:ascii="仿宋_GB2312" w:hAnsi="仿宋_GB2312" w:eastAsia="仿宋_GB2312"/>
          <w:sz w:val="32"/>
          <w:szCs w:val="32"/>
          <w:shd w:val="clear" w:color="auto" w:fill="auto"/>
        </w:rPr>
        <w:t>（</w:t>
      </w:r>
      <w:r>
        <w:rPr>
          <w:rFonts w:hint="default" w:ascii="仿宋_GB2312" w:hAnsi="仿宋_GB2312" w:eastAsia="仿宋_GB2312"/>
          <w:sz w:val="32"/>
          <w:szCs w:val="32"/>
          <w:shd w:val="clear" w:color="auto" w:fill="auto"/>
        </w:rPr>
        <w:t>3</w:t>
      </w:r>
      <w:r>
        <w:rPr>
          <w:rFonts w:hint="eastAsia" w:ascii="仿宋_GB2312" w:hAnsi="仿宋_GB2312" w:eastAsia="仿宋_GB2312"/>
          <w:sz w:val="32"/>
          <w:szCs w:val="32"/>
          <w:shd w:val="clear" w:color="auto" w:fill="auto"/>
        </w:rPr>
        <w:t>）认证委托人实际情况与申请材料有重大不一致；</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eastAsia" w:ascii="仿宋_GB2312" w:hAnsi="仿宋_GB2312" w:eastAsia="仿宋_GB2312"/>
          <w:sz w:val="32"/>
          <w:szCs w:val="32"/>
          <w:shd w:val="clear" w:color="auto" w:fill="auto"/>
        </w:rPr>
        <w:t>（</w:t>
      </w:r>
      <w:r>
        <w:rPr>
          <w:rFonts w:hint="default" w:ascii="仿宋_GB2312" w:hAnsi="仿宋_GB2312" w:eastAsia="仿宋_GB2312"/>
          <w:sz w:val="32"/>
          <w:szCs w:val="32"/>
          <w:shd w:val="clear" w:color="auto" w:fill="auto"/>
        </w:rPr>
        <w:t>4</w:t>
      </w:r>
      <w:r>
        <w:rPr>
          <w:rFonts w:hint="eastAsia" w:ascii="仿宋_GB2312" w:hAnsi="仿宋_GB2312" w:eastAsia="仿宋_GB2312"/>
          <w:sz w:val="32"/>
          <w:szCs w:val="32"/>
          <w:shd w:val="clear" w:color="auto" w:fill="auto"/>
        </w:rPr>
        <w:t>）其他导致审核程序无法完成的情况。</w:t>
      </w:r>
    </w:p>
    <w:p>
      <w:pPr>
        <w:pStyle w:val="3"/>
        <w:autoSpaceDE w:val="0"/>
        <w:autoSpaceDN w:val="0"/>
        <w:adjustRightInd w:val="0"/>
        <w:snapToGrid w:val="0"/>
        <w:outlineLvl w:val="1"/>
        <w:rPr>
          <w:rFonts w:hint="eastAsia"/>
          <w:lang w:val="en-US" w:eastAsia="zh-CN"/>
        </w:rPr>
      </w:pPr>
      <w:bookmarkStart w:id="65" w:name="_Toc171603623"/>
      <w:bookmarkStart w:id="66" w:name="_Toc27065"/>
      <w:bookmarkStart w:id="67" w:name="_Toc28583"/>
      <w:bookmarkStart w:id="68" w:name="_Toc13728"/>
      <w:bookmarkStart w:id="69" w:name="_Toc23647"/>
      <w:r>
        <w:t>5.6 初次认证</w:t>
      </w:r>
      <w:bookmarkEnd w:id="65"/>
      <w:r>
        <w:rPr>
          <w:rFonts w:hint="default" w:ascii="Times New Roman" w:hAnsi="Times New Roman" w:eastAsia="楷体"/>
          <w:b/>
          <w:bCs/>
          <w:sz w:val="32"/>
          <w:szCs w:val="32"/>
          <w:lang w:val="en-US" w:eastAsia="zh-CN"/>
        </w:rPr>
        <w:t>审核</w:t>
      </w:r>
      <w:bookmarkEnd w:id="66"/>
      <w:bookmarkEnd w:id="67"/>
      <w:bookmarkEnd w:id="68"/>
      <w:bookmarkEnd w:id="69"/>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 xml:space="preserve">5.6.1 </w:t>
      </w:r>
      <w:r>
        <w:rPr>
          <w:rFonts w:hint="default" w:ascii="仿宋_GB2312" w:hAnsi="仿宋_GB2312" w:eastAsia="仿宋_GB2312"/>
          <w:sz w:val="32"/>
          <w:szCs w:val="32"/>
        </w:rPr>
        <w:t>总则</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初次认证审核应分为两个阶段实施：第一阶段审核和第二阶段审核</w:t>
      </w:r>
      <w:r>
        <w:rPr>
          <w:rFonts w:hint="default" w:ascii="仿宋_GB2312" w:hAnsi="仿宋_GB2312" w:eastAsia="仿宋_GB2312"/>
          <w:sz w:val="32"/>
          <w:szCs w:val="32"/>
        </w:rPr>
        <w:t>。</w:t>
      </w:r>
      <w:r>
        <w:rPr>
          <w:rFonts w:hint="eastAsia" w:ascii="仿宋_GB2312" w:hAnsi="仿宋_GB2312" w:eastAsia="仿宋_GB2312"/>
          <w:sz w:val="32"/>
          <w:szCs w:val="32"/>
        </w:rPr>
        <w:t>两个阶段审核时间间隔最短不应少于5日，最长不应超过6个月。如需要更长的时间间隔，应重新实施第一阶段审核。</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5.6.2 第一阶段审核</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5.6.2.1 第一阶段审核的目的是通过了解认证委托人的QMS和其对第二阶段的准备情况，确定其是否具备接受第二阶段审核的条件并策划第二阶段审核的关注点。第一阶段审核的内容包括但不限于以下方面：</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（1）了解认证委托人的情况，包括其活动、产品和服务、设施设备、工艺流程、现场运作以及适用的质量标准；</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rPr>
        <w:t>（2）评审</w:t>
      </w:r>
      <w:r>
        <w:rPr>
          <w:rFonts w:hint="eastAsia" w:ascii="仿宋_GB2312" w:hAnsi="仿宋_GB2312" w:eastAsia="仿宋_GB2312"/>
          <w:sz w:val="32"/>
          <w:szCs w:val="32"/>
          <w:shd w:val="clear" w:color="auto" w:fill="FFFFFF"/>
        </w:rPr>
        <w:t>认证委托人QMS体系文件，确认其与</w:t>
      </w:r>
      <w:r>
        <w:rPr>
          <w:rFonts w:hint="default" w:ascii="仿宋_GB2312" w:hAnsi="仿宋_GB2312" w:eastAsia="仿宋_GB2312"/>
          <w:sz w:val="32"/>
          <w:szCs w:val="32"/>
          <w:shd w:val="clear" w:color="auto" w:fill="FFFFFF"/>
        </w:rPr>
        <w:t>认证委托人</w:t>
      </w:r>
      <w:r>
        <w:rPr>
          <w:rFonts w:hint="eastAsia" w:ascii="仿宋_GB2312" w:hAnsi="仿宋_GB2312" w:eastAsia="仿宋_GB2312"/>
          <w:sz w:val="32"/>
          <w:szCs w:val="32"/>
          <w:shd w:val="clear" w:color="auto" w:fill="FFFFFF"/>
        </w:rPr>
        <w:t>业务活动及产品和服务相吻合；</w:t>
      </w:r>
    </w:p>
    <w:p>
      <w:pPr>
        <w:autoSpaceDE w:val="0"/>
        <w:autoSpaceDN w:val="0"/>
        <w:adjustRightInd w:val="0"/>
        <w:snapToGrid w:val="0"/>
        <w:rPr>
          <w:rFonts w:hint="eastAsia" w:ascii="仿宋_GB2312" w:hAnsi="仿宋_GB2312" w:eastAsia="仿宋_GB2312"/>
          <w:sz w:val="32"/>
          <w:szCs w:val="32"/>
          <w:shd w:val="clear" w:color="auto" w:fill="FFFFFF"/>
        </w:rPr>
      </w:pPr>
      <w:r>
        <w:rPr>
          <w:rFonts w:hint="default" w:ascii="仿宋_GB2312" w:hAnsi="仿宋_GB2312" w:eastAsia="仿宋_GB2312"/>
          <w:sz w:val="32"/>
          <w:szCs w:val="32"/>
          <w:shd w:val="clear" w:color="auto" w:fill="FFFFFF"/>
        </w:rPr>
        <w:t>（3）确认认证委托人申请信息和文件资料的真实性；</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rPr>
        <w:t>（</w:t>
      </w:r>
      <w:r>
        <w:rPr>
          <w:rFonts w:hint="default" w:ascii="仿宋_GB2312" w:hAnsi="仿宋_GB2312" w:eastAsia="仿宋_GB2312"/>
          <w:sz w:val="32"/>
          <w:szCs w:val="32"/>
        </w:rPr>
        <w:t>4</w:t>
      </w:r>
      <w:r>
        <w:rPr>
          <w:rFonts w:hint="eastAsia" w:ascii="仿宋_GB2312" w:hAnsi="仿宋_GB2312" w:eastAsia="仿宋_GB2312"/>
          <w:sz w:val="32"/>
          <w:szCs w:val="32"/>
        </w:rPr>
        <w:t>）</w:t>
      </w:r>
      <w:r>
        <w:rPr>
          <w:rFonts w:hint="eastAsia" w:ascii="仿宋_GB2312" w:hAnsi="仿宋_GB2312" w:eastAsia="仿宋_GB2312"/>
          <w:sz w:val="32"/>
          <w:szCs w:val="32"/>
          <w:shd w:val="clear" w:color="auto" w:fill="FFFFFF"/>
        </w:rPr>
        <w:t>审核认证委托人理解和实施GB/T 19001/ISO 9001标准的情况，特别是对QMS关键绩效、过程和运行及质量目标识别情况；</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rPr>
        <w:t>（</w:t>
      </w:r>
      <w:r>
        <w:rPr>
          <w:rFonts w:hint="default" w:ascii="仿宋_GB2312" w:hAnsi="仿宋_GB2312" w:eastAsia="仿宋_GB2312"/>
          <w:sz w:val="32"/>
          <w:szCs w:val="32"/>
        </w:rPr>
        <w:t>5</w:t>
      </w:r>
      <w:r>
        <w:rPr>
          <w:rFonts w:hint="eastAsia" w:ascii="仿宋_GB2312" w:hAnsi="仿宋_GB2312" w:eastAsia="仿宋_GB2312"/>
          <w:sz w:val="32"/>
          <w:szCs w:val="32"/>
        </w:rPr>
        <w:t>）</w:t>
      </w:r>
      <w:r>
        <w:rPr>
          <w:rFonts w:hint="eastAsia"/>
          <w:sz w:val="32"/>
          <w:szCs w:val="32"/>
          <w:lang w:val="en-US" w:eastAsia="zh-CN"/>
        </w:rPr>
        <w:t>确认</w:t>
      </w:r>
      <w:r>
        <w:rPr>
          <w:rFonts w:hint="eastAsia" w:ascii="仿宋_GB2312" w:hAnsi="仿宋_GB2312" w:eastAsia="仿宋_GB2312"/>
          <w:sz w:val="32"/>
          <w:szCs w:val="32"/>
          <w:shd w:val="clear" w:color="auto" w:fill="FFFFFF"/>
        </w:rPr>
        <w:t>认证委托人是否为第二阶段审核做好准备，已实施了内</w:t>
      </w:r>
      <w:r>
        <w:rPr>
          <w:rFonts w:hint="default" w:ascii="仿宋_GB2312" w:hAnsi="仿宋_GB2312" w:eastAsia="仿宋_GB2312"/>
          <w:sz w:val="32"/>
          <w:szCs w:val="32"/>
          <w:shd w:val="clear" w:color="auto" w:fill="FFFFFF"/>
        </w:rPr>
        <w:t>部</w:t>
      </w:r>
      <w:r>
        <w:rPr>
          <w:rFonts w:hint="eastAsia" w:ascii="仿宋_GB2312" w:hAnsi="仿宋_GB2312" w:eastAsia="仿宋_GB2312"/>
          <w:sz w:val="32"/>
          <w:szCs w:val="32"/>
          <w:shd w:val="clear" w:color="auto" w:fill="FFFFFF"/>
        </w:rPr>
        <w:t>审</w:t>
      </w:r>
      <w:r>
        <w:rPr>
          <w:rFonts w:hint="default" w:ascii="仿宋_GB2312" w:hAnsi="仿宋_GB2312" w:eastAsia="仿宋_GB2312"/>
          <w:sz w:val="32"/>
          <w:szCs w:val="32"/>
          <w:shd w:val="clear" w:color="auto" w:fill="FFFFFF"/>
        </w:rPr>
        <w:t>核</w:t>
      </w:r>
      <w:r>
        <w:rPr>
          <w:rFonts w:hint="eastAsia" w:ascii="仿宋_GB2312" w:hAnsi="仿宋_GB2312" w:eastAsia="仿宋_GB2312"/>
          <w:sz w:val="32"/>
          <w:szCs w:val="32"/>
          <w:shd w:val="clear" w:color="auto" w:fill="FFFFFF"/>
        </w:rPr>
        <w:t>和管理评审；</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rPr>
        <w:t>（</w:t>
      </w:r>
      <w:r>
        <w:rPr>
          <w:rFonts w:hint="default" w:ascii="仿宋_GB2312" w:hAnsi="仿宋_GB2312" w:eastAsia="仿宋_GB2312"/>
          <w:sz w:val="32"/>
          <w:szCs w:val="32"/>
          <w:lang w:val="en-US" w:eastAsia="zh-CN"/>
        </w:rPr>
        <w:t>6</w:t>
      </w:r>
      <w:r>
        <w:rPr>
          <w:rFonts w:hint="eastAsia" w:ascii="仿宋_GB2312" w:hAnsi="仿宋_GB2312" w:eastAsia="仿宋_GB2312"/>
          <w:sz w:val="32"/>
          <w:szCs w:val="32"/>
        </w:rPr>
        <w:t>）</w:t>
      </w:r>
      <w:r>
        <w:rPr>
          <w:rFonts w:hint="eastAsia" w:ascii="仿宋_GB2312" w:hAnsi="仿宋_GB2312" w:eastAsia="仿宋_GB2312"/>
          <w:sz w:val="32"/>
          <w:szCs w:val="32"/>
          <w:shd w:val="clear" w:color="auto" w:fill="FFFFFF"/>
        </w:rPr>
        <w:t>确认认证委托人QMS认证范围、体系覆盖范围内有效人数和场所；</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eastAsia" w:ascii="仿宋_GB2312" w:hAnsi="仿宋_GB2312" w:eastAsia="仿宋_GB2312"/>
          <w:sz w:val="32"/>
          <w:szCs w:val="32"/>
        </w:rPr>
        <w:t>（</w:t>
      </w:r>
      <w:r>
        <w:rPr>
          <w:rFonts w:hint="default" w:ascii="仿宋_GB2312" w:hAnsi="仿宋_GB2312" w:eastAsia="仿宋_GB2312"/>
          <w:sz w:val="32"/>
          <w:szCs w:val="32"/>
          <w:lang w:val="en-US" w:eastAsia="zh-CN"/>
        </w:rPr>
        <w:t>7</w:t>
      </w:r>
      <w:r>
        <w:rPr>
          <w:rFonts w:hint="eastAsia" w:ascii="仿宋_GB2312" w:hAnsi="仿宋_GB2312" w:eastAsia="仿宋_GB2312"/>
          <w:sz w:val="32"/>
          <w:szCs w:val="32"/>
        </w:rPr>
        <w:t>）</w:t>
      </w:r>
      <w:r>
        <w:rPr>
          <w:rFonts w:hint="eastAsia" w:ascii="仿宋_GB2312" w:hAnsi="仿宋_GB2312" w:eastAsia="仿宋_GB2312"/>
          <w:sz w:val="32"/>
          <w:szCs w:val="32"/>
          <w:shd w:val="clear" w:color="auto" w:fill="auto"/>
        </w:rPr>
        <w:t>认证委托人的产品和服务符合质量相关法律法规及强制性标准的情况。</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5.6.2.2 为达到第一阶段审核的目的和要求，除下列情况外，第一阶段审核应在认证委托人现场实施：</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（1）认证委托人已获本认证机构颁发的其他领域的有效认证证书，认证机构已对认证委托人QMS有充分了解；</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w:t>
      </w:r>
      <w:r>
        <w:rPr>
          <w:rFonts w:hint="default" w:ascii="仿宋_GB2312" w:hAnsi="仿宋_GB2312" w:eastAsia="仿宋_GB2312"/>
          <w:sz w:val="32"/>
          <w:szCs w:val="32"/>
          <w:shd w:val="clear" w:color="auto" w:fill="FFFFFF"/>
        </w:rPr>
        <w:t>2</w:t>
      </w:r>
      <w:r>
        <w:rPr>
          <w:rFonts w:hint="eastAsia" w:ascii="仿宋_GB2312" w:hAnsi="仿宋_GB2312" w:eastAsia="仿宋_GB2312"/>
          <w:sz w:val="32"/>
          <w:szCs w:val="32"/>
          <w:shd w:val="clear" w:color="auto" w:fill="FFFFFF"/>
        </w:rPr>
        <w:t>）认证委托人获得了经认可机构认可的其他认证机构颁发的有效的QMS认证证书，通过对其文件和资料的审核可以达到第一阶段审核的目的和要求。</w:t>
      </w:r>
    </w:p>
    <w:p>
      <w:pPr>
        <w:autoSpaceDE/>
        <w:autoSpaceDN/>
        <w:adjustRightInd/>
        <w:snapToGrid/>
        <w:spacing w:line="240" w:lineRule="auto"/>
        <w:ind w:firstLine="640" w:firstLineChars="200"/>
        <w:rPr>
          <w:rFonts w:hint="eastAsia" w:ascii="仿宋_GB2312" w:hAnsi="仿宋_GB2312" w:eastAsia="仿宋_GB2312"/>
          <w:sz w:val="32"/>
          <w:szCs w:val="32"/>
          <w:shd w:val="clear" w:color="auto" w:fill="auto"/>
        </w:rPr>
      </w:pPr>
      <w:r>
        <w:rPr>
          <w:rFonts w:hint="eastAsia" w:ascii="仿宋_GB2312" w:hAnsi="仿宋_GB2312" w:eastAsia="仿宋_GB2312"/>
          <w:sz w:val="32"/>
          <w:szCs w:val="32"/>
        </w:rPr>
        <w:t>认证机构应记录未在现场进行第一阶段审核的理由</w:t>
      </w:r>
      <w:r>
        <w:rPr>
          <w:rFonts w:hint="eastAsia" w:ascii="仿宋_GB2312" w:hAnsi="仿宋_GB2312" w:eastAsia="仿宋_GB2312"/>
          <w:sz w:val="32"/>
          <w:szCs w:val="32"/>
          <w:shd w:val="clear" w:color="auto" w:fill="auto"/>
        </w:rPr>
        <w:t>。</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5.6.2.3 认证机构应将认证委托人是否具备</w:t>
      </w:r>
      <w:r>
        <w:rPr>
          <w:rFonts w:hint="default" w:ascii="仿宋_GB2312" w:hAnsi="仿宋_GB2312" w:eastAsia="仿宋_GB2312"/>
          <w:sz w:val="32"/>
          <w:szCs w:val="32"/>
        </w:rPr>
        <w:t>第</w:t>
      </w:r>
      <w:r>
        <w:rPr>
          <w:rFonts w:hint="eastAsia" w:ascii="仿宋_GB2312" w:hAnsi="仿宋_GB2312" w:eastAsia="仿宋_GB2312"/>
          <w:sz w:val="32"/>
          <w:szCs w:val="32"/>
        </w:rPr>
        <w:t>二阶段审核条件的结论书面告知认证委托人，包括所识别的需引起关注的、在</w:t>
      </w:r>
      <w:r>
        <w:rPr>
          <w:rFonts w:hint="default" w:ascii="仿宋_GB2312" w:hAnsi="仿宋_GB2312" w:eastAsia="仿宋_GB2312"/>
          <w:sz w:val="32"/>
          <w:szCs w:val="32"/>
        </w:rPr>
        <w:t>第</w:t>
      </w:r>
      <w:r>
        <w:rPr>
          <w:rFonts w:hint="eastAsia" w:ascii="仿宋_GB2312" w:hAnsi="仿宋_GB2312" w:eastAsia="仿宋_GB2312"/>
          <w:sz w:val="32"/>
          <w:szCs w:val="32"/>
        </w:rPr>
        <w:t>二阶段可能被判定为不符合的</w:t>
      </w:r>
      <w:r>
        <w:rPr>
          <w:rFonts w:hint="default"/>
        </w:rPr>
        <w:t>问题</w:t>
      </w:r>
      <w:r>
        <w:rPr>
          <w:rFonts w:hint="eastAsia" w:ascii="仿宋_GB2312" w:hAnsi="仿宋_GB2312" w:eastAsia="仿宋_GB2312"/>
          <w:sz w:val="32"/>
          <w:szCs w:val="32"/>
        </w:rPr>
        <w:t>。</w:t>
      </w:r>
    </w:p>
    <w:p>
      <w:pPr>
        <w:autoSpaceDE/>
        <w:autoSpaceDN/>
        <w:adjustRightInd/>
        <w:snapToGrid/>
        <w:spacing w:line="240" w:lineRule="auto"/>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 xml:space="preserve">5.6.2.4 </w:t>
      </w:r>
      <w:r>
        <w:rPr>
          <w:rFonts w:hint="default" w:ascii="仿宋_GB2312" w:hAnsi="仿宋_GB2312" w:eastAsia="仿宋_GB2312"/>
          <w:sz w:val="32"/>
          <w:szCs w:val="32"/>
          <w:highlight w:val="none"/>
        </w:rPr>
        <w:t>认证机构通过</w:t>
      </w:r>
      <w:r>
        <w:rPr>
          <w:rFonts w:hint="eastAsia"/>
          <w:lang w:val="en-US" w:eastAsia="zh-CN"/>
        </w:rPr>
        <w:t>第</w:t>
      </w:r>
      <w:r>
        <w:rPr>
          <w:rFonts w:hint="default" w:ascii="仿宋_GB2312" w:hAnsi="仿宋_GB2312" w:eastAsia="仿宋_GB2312"/>
          <w:sz w:val="32"/>
          <w:szCs w:val="32"/>
          <w:highlight w:val="none"/>
        </w:rPr>
        <w:t>一阶段审核发现相关申请信息</w:t>
      </w:r>
      <w:r>
        <w:rPr>
          <w:rFonts w:hint="eastAsia"/>
          <w:lang w:val="en-US" w:eastAsia="zh-CN"/>
        </w:rPr>
        <w:t>和文件资料</w:t>
      </w:r>
      <w:r>
        <w:rPr>
          <w:rFonts w:hint="default" w:ascii="仿宋_GB2312" w:hAnsi="仿宋_GB2312" w:eastAsia="仿宋_GB2312"/>
          <w:sz w:val="32"/>
          <w:szCs w:val="32"/>
          <w:highlight w:val="none"/>
        </w:rPr>
        <w:t>存在虚假情况的，应终止认证</w:t>
      </w:r>
      <w:r>
        <w:rPr>
          <w:rFonts w:hint="default" w:ascii="仿宋_GB2312" w:hAnsi="仿宋_GB2312" w:eastAsia="仿宋_GB2312"/>
          <w:sz w:val="32"/>
          <w:szCs w:val="32"/>
        </w:rPr>
        <w:t>活动</w:t>
      </w:r>
      <w:r>
        <w:rPr>
          <w:rFonts w:hint="default" w:ascii="仿宋_GB2312" w:hAnsi="仿宋_GB2312" w:eastAsia="仿宋_GB2312"/>
          <w:sz w:val="32"/>
          <w:szCs w:val="32"/>
          <w:highlight w:val="none"/>
        </w:rPr>
        <w:t>。</w:t>
      </w:r>
    </w:p>
    <w:p>
      <w:pPr>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5.6.3 第二阶段审核</w:t>
      </w:r>
    </w:p>
    <w:p>
      <w:pPr>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5.6.3.1 第二阶段审核的目的是评价认证委托人QMS的实施情况，包括对GB/T 19001/ISO 9001标准要求的符合性和体系的有效性。</w:t>
      </w:r>
    </w:p>
    <w:p>
      <w:pPr>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5.6.3.2 第二阶段审核应在认证委托人的现场实施，至少覆盖以下内容：</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kern w:val="2"/>
          <w:sz w:val="32"/>
          <w:szCs w:val="32"/>
        </w:rPr>
        <w:t>（1）认证委托人QMS与GB/T 19001/ISO 9001标准的符合情况及证据；</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kern w:val="2"/>
          <w:sz w:val="32"/>
          <w:szCs w:val="32"/>
        </w:rPr>
        <w:t>（2）依据QMS关键绩效、目标和指标，对绩效进行的监视、测量、报告和评审</w:t>
      </w:r>
      <w:r>
        <w:rPr>
          <w:rFonts w:hint="eastAsia" w:ascii="仿宋_GB2312" w:hAnsi="仿宋_GB2312" w:eastAsia="仿宋_GB2312"/>
          <w:sz w:val="32"/>
          <w:szCs w:val="32"/>
          <w:shd w:val="clear" w:color="auto" w:fill="FFFFFF"/>
        </w:rPr>
        <w:t>；</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kern w:val="2"/>
          <w:sz w:val="32"/>
          <w:szCs w:val="32"/>
        </w:rPr>
        <w:t>（3）认证委托人实施QMS的能力以及在符合适用法律法规要求方面的绩效；</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（4）认证委托人</w:t>
      </w:r>
      <w:r>
        <w:rPr>
          <w:rFonts w:hint="eastAsia"/>
          <w:kern w:val="2"/>
          <w:sz w:val="32"/>
          <w:szCs w:val="32"/>
          <w:lang w:val="en-US" w:eastAsia="zh-CN"/>
        </w:rPr>
        <w:t>质量管理</w:t>
      </w:r>
      <w:r>
        <w:rPr>
          <w:rFonts w:hint="eastAsia" w:ascii="仿宋_GB2312" w:hAnsi="仿宋_GB2312" w:eastAsia="仿宋_GB2312"/>
          <w:kern w:val="2"/>
          <w:sz w:val="32"/>
          <w:szCs w:val="32"/>
        </w:rPr>
        <w:t>过程的运作控制；</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（5）认证委托人的内部审核和管理评审；</w:t>
      </w:r>
    </w:p>
    <w:p>
      <w:pPr>
        <w:autoSpaceDE w:val="0"/>
        <w:autoSpaceDN w:val="0"/>
        <w:adjustRightInd w:val="0"/>
        <w:snapToGrid w:val="0"/>
        <w:rPr>
          <w:rFonts w:hint="eastAsia"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（6）针对认证委托人QMS方针的管理职责。</w:t>
      </w:r>
    </w:p>
    <w:p>
      <w:pPr>
        <w:pStyle w:val="3"/>
        <w:autoSpaceDE w:val="0"/>
        <w:autoSpaceDN w:val="0"/>
        <w:adjustRightInd w:val="0"/>
        <w:snapToGrid w:val="0"/>
        <w:ind w:firstLineChars="200"/>
        <w:outlineLvl w:val="1"/>
      </w:pPr>
      <w:bookmarkStart w:id="70" w:name="_Toc8919"/>
      <w:bookmarkStart w:id="71" w:name="_Toc22751"/>
      <w:bookmarkStart w:id="72" w:name="_Toc171603624"/>
      <w:bookmarkStart w:id="73" w:name="_Toc18046"/>
      <w:bookmarkStart w:id="74" w:name="_Toc23245"/>
      <w:r>
        <w:t>5.7 监督审核</w:t>
      </w:r>
      <w:bookmarkEnd w:id="70"/>
      <w:bookmarkEnd w:id="71"/>
      <w:bookmarkEnd w:id="72"/>
      <w:bookmarkEnd w:id="73"/>
      <w:bookmarkEnd w:id="74"/>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5.7.1 认证机构应对获证组织进行有效跟踪，依据审核方案对获证组织开展监督审核，并要求</w:t>
      </w:r>
      <w:r>
        <w:rPr>
          <w:rFonts w:hint="default" w:ascii="仿宋_GB2312" w:hAnsi="仿宋_GB2312" w:eastAsia="仿宋_GB2312"/>
          <w:sz w:val="32"/>
          <w:szCs w:val="32"/>
        </w:rPr>
        <w:t>获证组织的</w:t>
      </w:r>
      <w:r>
        <w:rPr>
          <w:rFonts w:hint="eastAsia" w:ascii="仿宋_GB2312" w:hAnsi="仿宋_GB2312" w:eastAsia="仿宋_GB2312"/>
          <w:sz w:val="32"/>
          <w:szCs w:val="32"/>
        </w:rPr>
        <w:t>最高管理者参与审核访谈</w:t>
      </w:r>
      <w:r>
        <w:rPr>
          <w:rFonts w:hint="default" w:ascii="仿宋_GB2312" w:hAnsi="仿宋_GB2312" w:eastAsia="仿宋_GB2312"/>
          <w:sz w:val="32"/>
          <w:szCs w:val="32"/>
        </w:rPr>
        <w:t>，</w:t>
      </w:r>
      <w:r>
        <w:rPr>
          <w:rFonts w:hint="eastAsia" w:ascii="仿宋_GB2312" w:hAnsi="仿宋_GB2312" w:eastAsia="仿宋_GB2312"/>
          <w:sz w:val="32"/>
          <w:szCs w:val="32"/>
        </w:rPr>
        <w:t>以确认获证组织QMS与GB/T 19001/ISO 9001标准的持续符合性和运行的有效性。</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5.7.2 每次监督审核应尽可能覆盖认证范围内的典型产品/服务</w:t>
      </w:r>
      <w:r>
        <w:rPr>
          <w:rFonts w:hint="default" w:ascii="仿宋_GB2312" w:hAnsi="仿宋_GB2312" w:eastAsia="仿宋_GB2312"/>
          <w:sz w:val="32"/>
          <w:szCs w:val="32"/>
        </w:rPr>
        <w:t>及</w:t>
      </w:r>
      <w:r>
        <w:rPr>
          <w:rFonts w:hint="eastAsia" w:ascii="仿宋_GB2312" w:hAnsi="仿宋_GB2312" w:eastAsia="仿宋_GB2312"/>
          <w:sz w:val="32"/>
          <w:szCs w:val="32"/>
        </w:rPr>
        <w:t>有代表性的生产/服务过程</w:t>
      </w:r>
      <w:r>
        <w:rPr>
          <w:rFonts w:hint="default" w:ascii="仿宋_GB2312" w:hAnsi="仿宋_GB2312" w:eastAsia="仿宋_GB2312"/>
          <w:sz w:val="32"/>
          <w:szCs w:val="32"/>
          <w:lang w:eastAsia="zh-CN"/>
        </w:rPr>
        <w:t>，</w:t>
      </w:r>
      <w:r>
        <w:rPr>
          <w:rFonts w:hint="eastAsia" w:ascii="仿宋_GB2312" w:hAnsi="仿宋_GB2312" w:eastAsia="仿宋_GB2312"/>
          <w:sz w:val="32"/>
          <w:szCs w:val="32"/>
        </w:rPr>
        <w:t>并确保在认证证书有效期内的监督审核覆盖认证范围内的所有</w:t>
      </w:r>
      <w:r>
        <w:rPr>
          <w:rFonts w:hint="eastAsia"/>
        </w:rPr>
        <w:t>典型产品/服务</w:t>
      </w:r>
      <w:r>
        <w:rPr>
          <w:rFonts w:hint="eastAsia"/>
          <w:lang w:eastAsia="zh-CN"/>
        </w:rPr>
        <w:t>、</w:t>
      </w:r>
      <w:r>
        <w:rPr>
          <w:rFonts w:hint="eastAsia"/>
          <w:lang w:val="en-US" w:eastAsia="zh-CN"/>
        </w:rPr>
        <w:t>有</w:t>
      </w:r>
      <w:r>
        <w:rPr>
          <w:rFonts w:hint="eastAsia" w:ascii="仿宋_GB2312" w:hAnsi="仿宋_GB2312" w:eastAsia="仿宋_GB2312"/>
          <w:sz w:val="32"/>
          <w:szCs w:val="32"/>
        </w:rPr>
        <w:t>代表性的生产/服务过程。</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5.7.3 监督审核应重点关注获证组织的变更以及QMS绩效的持续改进，监督审核的内容至少包括：</w:t>
      </w:r>
    </w:p>
    <w:p>
      <w:pPr>
        <w:autoSpaceDE w:val="0"/>
        <w:autoSpaceDN w:val="0"/>
        <w:adjustRightInd w:val="0"/>
        <w:snapToGrid w:val="0"/>
        <w:rPr>
          <w:rFonts w:hint="eastAsia" w:ascii="仿宋_GB2312" w:hAnsi="仿宋_GB2312" w:eastAsia="仿宋_GB2312"/>
          <w:kern w:val="2"/>
          <w:sz w:val="32"/>
          <w:szCs w:val="32"/>
        </w:rPr>
      </w:pPr>
      <w:bookmarkStart w:id="75" w:name="_Hlk155558951"/>
      <w:r>
        <w:rPr>
          <w:rFonts w:hint="eastAsia" w:ascii="仿宋_GB2312" w:hAnsi="仿宋_GB2312" w:eastAsia="仿宋_GB2312"/>
          <w:kern w:val="2"/>
          <w:sz w:val="32"/>
          <w:szCs w:val="32"/>
        </w:rPr>
        <w:t>（1）内部审核和管理评审</w:t>
      </w:r>
      <w:bookmarkEnd w:id="75"/>
      <w:r>
        <w:rPr>
          <w:rFonts w:hint="eastAsia" w:ascii="仿宋_GB2312" w:hAnsi="仿宋_GB2312" w:eastAsia="仿宋_GB2312"/>
          <w:kern w:val="2"/>
          <w:sz w:val="32"/>
          <w:szCs w:val="32"/>
        </w:rPr>
        <w:t>；</w:t>
      </w:r>
    </w:p>
    <w:p>
      <w:pPr>
        <w:autoSpaceDE w:val="0"/>
        <w:autoSpaceDN w:val="0"/>
        <w:adjustRightInd w:val="0"/>
        <w:snapToGrid w:val="0"/>
        <w:rPr>
          <w:rFonts w:hint="eastAsia" w:ascii="仿宋_GB2312" w:hAnsi="仿宋_GB2312" w:eastAsia="仿宋_GB2312"/>
          <w:kern w:val="2"/>
          <w:sz w:val="32"/>
          <w:szCs w:val="32"/>
        </w:rPr>
      </w:pPr>
      <w:bookmarkStart w:id="76" w:name="_Hlk155558963"/>
      <w:r>
        <w:rPr>
          <w:rFonts w:hint="eastAsia" w:ascii="仿宋_GB2312" w:hAnsi="仿宋_GB2312" w:eastAsia="仿宋_GB2312"/>
          <w:kern w:val="2"/>
          <w:sz w:val="32"/>
          <w:szCs w:val="32"/>
        </w:rPr>
        <w:t>（2）对上次审核确定的不符合采取的纠正措施</w:t>
      </w:r>
      <w:bookmarkEnd w:id="76"/>
      <w:r>
        <w:rPr>
          <w:rFonts w:hint="eastAsia" w:ascii="仿宋_GB2312" w:hAnsi="仿宋_GB2312" w:eastAsia="仿宋_GB2312"/>
          <w:kern w:val="2"/>
          <w:sz w:val="32"/>
          <w:szCs w:val="32"/>
        </w:rPr>
        <w:t>及效果；</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（3）QMS在实现获证组织目标和QMS预期结果方面的有效性；</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（4）为持续改进而策划的活动的进展；</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（5）持续的运作控制；</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（6）任何变更；</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（7）认证证书、认证标志的使用和（或）任何其他对认证信息的引用；</w:t>
      </w:r>
    </w:p>
    <w:p>
      <w:pPr>
        <w:rPr>
          <w:rFonts w:hint="eastAsia" w:ascii="仿宋_GB2312" w:hAnsi="仿宋_GB2312" w:eastAsia="仿宋_GB2312"/>
          <w:bCs w:val="0"/>
          <w:kern w:val="2"/>
          <w:sz w:val="32"/>
          <w:szCs w:val="32"/>
        </w:rPr>
      </w:pPr>
      <w:r>
        <w:rPr>
          <w:rFonts w:hint="eastAsia" w:ascii="仿宋_GB2312" w:hAnsi="仿宋_GB2312" w:eastAsia="仿宋_GB2312"/>
          <w:kern w:val="2"/>
          <w:sz w:val="32"/>
          <w:szCs w:val="32"/>
        </w:rPr>
        <w:t>（8）</w:t>
      </w:r>
      <w:r>
        <w:rPr>
          <w:rFonts w:hint="eastAsia" w:ascii="仿宋_GB2312" w:hAnsi="仿宋_GB2312" w:eastAsia="仿宋_GB2312"/>
          <w:bCs w:val="0"/>
          <w:kern w:val="2"/>
          <w:sz w:val="32"/>
          <w:szCs w:val="32"/>
        </w:rPr>
        <w:t>QMS相关投诉的处理</w:t>
      </w:r>
      <w:r>
        <w:rPr>
          <w:rFonts w:hint="default" w:ascii="仿宋_GB2312" w:hAnsi="仿宋_GB2312" w:eastAsia="仿宋_GB2312"/>
          <w:bCs w:val="0"/>
          <w:kern w:val="2"/>
          <w:sz w:val="32"/>
          <w:szCs w:val="32"/>
        </w:rPr>
        <w:t>；</w:t>
      </w:r>
    </w:p>
    <w:p>
      <w:pPr>
        <w:rPr>
          <w:rFonts w:hint="eastAsia" w:ascii="仿宋_GB2312" w:hAnsi="仿宋_GB2312" w:eastAsia="仿宋_GB2312"/>
          <w:bCs w:val="0"/>
          <w:kern w:val="2"/>
          <w:sz w:val="32"/>
          <w:szCs w:val="32"/>
        </w:rPr>
      </w:pPr>
      <w:r>
        <w:rPr>
          <w:rFonts w:hint="default" w:ascii="仿宋_GB2312" w:hAnsi="仿宋_GB2312" w:eastAsia="仿宋_GB2312"/>
          <w:bCs w:val="0"/>
          <w:kern w:val="2"/>
          <w:sz w:val="32"/>
          <w:szCs w:val="32"/>
        </w:rPr>
        <w:t>（9）上次审核后发生的质量事故的调查与处理。</w:t>
      </w:r>
    </w:p>
    <w:p>
      <w:pPr>
        <w:autoSpaceDE/>
        <w:autoSpaceDN/>
        <w:adjustRightInd/>
        <w:snapToGrid/>
        <w:spacing w:line="240" w:lineRule="auto"/>
        <w:ind w:firstLine="640" w:firstLineChars="200"/>
        <w:outlineLvl w:val="9"/>
        <w:rPr>
          <w:rFonts w:hint="eastAsia" w:ascii="仿宋_GB2312" w:hAnsi="仿宋_GB2312" w:eastAsia="仿宋_GB2312"/>
          <w:bCs w:val="0"/>
          <w:kern w:val="2"/>
          <w:sz w:val="32"/>
          <w:szCs w:val="32"/>
        </w:rPr>
      </w:pPr>
      <w:r>
        <w:rPr>
          <w:rFonts w:hint="eastAsia" w:ascii="仿宋_GB2312" w:hAnsi="仿宋_GB2312" w:eastAsia="仿宋_GB2312"/>
          <w:sz w:val="32"/>
          <w:szCs w:val="32"/>
        </w:rPr>
        <w:t>5.7.4 监督审核的时间应根据获证组织当前有效人数和QMS风险类型确定，不少于依据附录B所确定的初次认证审核时间的1/3。</w:t>
      </w:r>
    </w:p>
    <w:p>
      <w:pPr>
        <w:pStyle w:val="3"/>
        <w:autoSpaceDE w:val="0"/>
        <w:autoSpaceDN w:val="0"/>
        <w:adjustRightInd w:val="0"/>
        <w:snapToGrid w:val="0"/>
        <w:ind w:firstLineChars="200"/>
        <w:outlineLvl w:val="1"/>
        <w:rPr>
          <w:rFonts w:hint="eastAsia"/>
          <w:lang w:val="en-US" w:eastAsia="zh-CN"/>
        </w:rPr>
      </w:pPr>
      <w:bookmarkStart w:id="77" w:name="_Toc171603625"/>
      <w:bookmarkStart w:id="78" w:name="_Toc25548"/>
      <w:bookmarkStart w:id="79" w:name="_Toc23005"/>
      <w:bookmarkStart w:id="80" w:name="_Toc26620"/>
      <w:bookmarkStart w:id="81" w:name="_Toc29786"/>
      <w:r>
        <w:t xml:space="preserve">5.8 </w:t>
      </w:r>
      <w:r>
        <w:rPr>
          <w:rFonts w:hint="eastAsia"/>
        </w:rPr>
        <w:t>再认证</w:t>
      </w:r>
      <w:bookmarkEnd w:id="77"/>
      <w:r>
        <w:rPr>
          <w:rFonts w:hint="eastAsia"/>
          <w:lang w:val="en-US" w:eastAsia="zh-CN"/>
        </w:rPr>
        <w:t>审核</w:t>
      </w:r>
      <w:bookmarkEnd w:id="78"/>
      <w:bookmarkEnd w:id="79"/>
      <w:bookmarkEnd w:id="80"/>
      <w:bookmarkEnd w:id="81"/>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5.8.</w:t>
      </w:r>
      <w:r>
        <w:rPr>
          <w:rFonts w:hint="default" w:ascii="仿宋_GB2312" w:hAnsi="仿宋_GB2312" w:eastAsia="仿宋_GB2312"/>
          <w:sz w:val="32"/>
          <w:szCs w:val="32"/>
        </w:rPr>
        <w:t>1</w:t>
      </w:r>
      <w:r>
        <w:rPr>
          <w:rFonts w:hint="eastAsia" w:ascii="仿宋_GB2312" w:hAnsi="仿宋_GB2312" w:eastAsia="仿宋_GB2312"/>
          <w:sz w:val="32"/>
          <w:szCs w:val="32"/>
        </w:rPr>
        <w:t xml:space="preserve"> </w:t>
      </w:r>
      <w:r>
        <w:rPr>
          <w:rFonts w:hint="default" w:ascii="仿宋_GB2312" w:hAnsi="仿宋_GB2312" w:eastAsia="仿宋_GB2312"/>
          <w:sz w:val="32"/>
          <w:szCs w:val="32"/>
          <w:highlight w:val="none"/>
        </w:rPr>
        <w:t>认证证书期满前，获证组织申请继续持有认证证书</w:t>
      </w:r>
      <w:r>
        <w:rPr>
          <w:rFonts w:hint="eastAsia"/>
          <w:lang w:val="en-US" w:eastAsia="zh-CN"/>
        </w:rPr>
        <w:t>的</w:t>
      </w:r>
      <w:r>
        <w:rPr>
          <w:rFonts w:hint="default" w:ascii="仿宋_GB2312" w:hAnsi="仿宋_GB2312" w:eastAsia="仿宋_GB2312"/>
          <w:sz w:val="32"/>
          <w:szCs w:val="32"/>
          <w:highlight w:val="none"/>
        </w:rPr>
        <w:t>，</w:t>
      </w:r>
      <w:r>
        <w:rPr>
          <w:rFonts w:hint="eastAsia" w:ascii="仿宋_GB2312" w:hAnsi="仿宋_GB2312" w:eastAsia="仿宋_GB2312"/>
          <w:sz w:val="32"/>
          <w:szCs w:val="32"/>
        </w:rPr>
        <w:t>认证机构应依据审核方案实施再认证审核，以判断获证组织的QMS作为一个整体与GB/T 19001/ISO 9001持续符合性和运行的有效性。</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5.8.</w:t>
      </w:r>
      <w:r>
        <w:rPr>
          <w:rFonts w:hint="default" w:ascii="仿宋_GB2312" w:hAnsi="仿宋_GB2312" w:eastAsia="仿宋_GB2312"/>
          <w:sz w:val="32"/>
          <w:szCs w:val="32"/>
          <w:lang w:val="en-US" w:eastAsia="zh-CN"/>
        </w:rPr>
        <w:t>2</w:t>
      </w:r>
      <w:r>
        <w:rPr>
          <w:rFonts w:hint="eastAsia" w:ascii="仿宋_GB2312" w:hAnsi="仿宋_GB2312" w:eastAsia="仿宋_GB2312"/>
          <w:sz w:val="32"/>
          <w:szCs w:val="32"/>
        </w:rPr>
        <w:t xml:space="preserve"> 再认证审核应在获证组织现场进行，</w:t>
      </w:r>
      <w:r>
        <w:rPr>
          <w:rFonts w:hint="eastAsia" w:ascii="仿宋_GB2312" w:hAnsi="仿宋_GB2312" w:eastAsia="仿宋_GB2312"/>
          <w:sz w:val="32"/>
          <w:szCs w:val="32"/>
          <w:highlight w:val="none"/>
        </w:rPr>
        <w:t>并应在认证证书到</w:t>
      </w:r>
      <w:r>
        <w:rPr>
          <w:rFonts w:hint="default" w:ascii="仿宋_GB2312" w:hAnsi="仿宋_GB2312" w:eastAsia="仿宋_GB2312"/>
          <w:sz w:val="32"/>
          <w:szCs w:val="32"/>
          <w:highlight w:val="none"/>
        </w:rPr>
        <w:t>期前完成</w:t>
      </w:r>
      <w:r>
        <w:rPr>
          <w:rFonts w:hint="eastAsia" w:ascii="仿宋_GB2312" w:hAnsi="仿宋_GB2312" w:eastAsia="仿宋_GB2312"/>
          <w:sz w:val="32"/>
          <w:szCs w:val="32"/>
          <w:highlight w:val="none"/>
        </w:rPr>
        <w:t>。</w:t>
      </w:r>
      <w:r>
        <w:rPr>
          <w:rFonts w:hint="eastAsia" w:ascii="仿宋_GB2312" w:hAnsi="仿宋_GB2312" w:eastAsia="仿宋_GB2312"/>
          <w:sz w:val="32"/>
          <w:szCs w:val="32"/>
        </w:rPr>
        <w:t>再认证审核的内容至少应包括：</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（1）结合其内部环境和外部环境的变化情况，确认获证组织QMS有效性及认证范围的持续相关性和适宜性；</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（2）QMS绩效持续改进的证实；</w:t>
      </w:r>
    </w:p>
    <w:p>
      <w:pPr>
        <w:autoSpaceDE w:val="0"/>
        <w:autoSpaceDN w:val="0"/>
        <w:adjustRightInd w:val="0"/>
        <w:snapToGrid w:val="0"/>
        <w:rPr>
          <w:rFonts w:hint="eastAsia" w:ascii="仿宋_GB2312" w:hAnsi="仿宋_GB2312" w:eastAsia="仿宋_GB2312"/>
          <w:kern w:val="2"/>
          <w:sz w:val="32"/>
          <w:szCs w:val="32"/>
        </w:rPr>
      </w:pPr>
      <w:r>
        <w:rPr>
          <w:rFonts w:hint="eastAsia" w:ascii="仿宋_GB2312" w:hAnsi="仿宋_GB2312" w:eastAsia="仿宋_GB2312"/>
          <w:kern w:val="2"/>
          <w:sz w:val="32"/>
          <w:szCs w:val="32"/>
        </w:rPr>
        <w:t>（3）QMS在实现获证组织目标和QMS预期结果方面的有效性。</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5.8.</w:t>
      </w:r>
      <w:r>
        <w:rPr>
          <w:rFonts w:hint="default" w:ascii="仿宋_GB2312" w:hAnsi="仿宋_GB2312" w:eastAsia="仿宋_GB2312"/>
          <w:sz w:val="32"/>
          <w:szCs w:val="32"/>
          <w:lang w:val="en-US" w:eastAsia="zh-CN"/>
        </w:rPr>
        <w:t>3</w:t>
      </w:r>
      <w:r>
        <w:rPr>
          <w:rFonts w:hint="eastAsia" w:ascii="仿宋_GB2312" w:hAnsi="仿宋_GB2312" w:eastAsia="仿宋_GB2312"/>
          <w:sz w:val="32"/>
          <w:szCs w:val="32"/>
        </w:rPr>
        <w:t xml:space="preserve"> 再认证审核策划时应考虑获证组织最近一个认证周期内的QMS绩效，包括调阅以往的监督审核报告。</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5.8.</w:t>
      </w:r>
      <w:r>
        <w:rPr>
          <w:rFonts w:hint="default" w:ascii="仿宋_GB2312" w:hAnsi="仿宋_GB2312" w:eastAsia="仿宋_GB2312"/>
          <w:sz w:val="32"/>
          <w:szCs w:val="32"/>
          <w:lang w:val="en-US" w:eastAsia="zh-CN"/>
        </w:rPr>
        <w:t>4</w:t>
      </w:r>
      <w:r>
        <w:rPr>
          <w:rFonts w:hint="eastAsia" w:ascii="仿宋_GB2312" w:hAnsi="仿宋_GB2312" w:eastAsia="仿宋_GB2312"/>
          <w:sz w:val="32"/>
          <w:szCs w:val="32"/>
        </w:rPr>
        <w:t xml:space="preserve"> 再认证审核的审核时间应按5.4.2的要求，根据获证组织当前</w:t>
      </w:r>
      <w:r>
        <w:rPr>
          <w:rFonts w:hint="eastAsia"/>
        </w:rPr>
        <w:t>有效人数和QMS风险类型</w:t>
      </w:r>
      <w:r>
        <w:rPr>
          <w:rFonts w:hint="eastAsia" w:ascii="仿宋_GB2312" w:hAnsi="仿宋_GB2312" w:eastAsia="仿宋_GB2312"/>
          <w:sz w:val="32"/>
          <w:szCs w:val="32"/>
        </w:rPr>
        <w:t>情况来确定，不少于依据附录B所确定的初次认证审核时间的2/3。</w:t>
      </w:r>
    </w:p>
    <w:p>
      <w:pPr>
        <w:pStyle w:val="3"/>
        <w:autoSpaceDE w:val="0"/>
        <w:autoSpaceDN w:val="0"/>
        <w:adjustRightInd w:val="0"/>
        <w:snapToGrid w:val="0"/>
        <w:ind w:firstLineChars="200"/>
        <w:outlineLvl w:val="1"/>
      </w:pPr>
      <w:bookmarkStart w:id="82" w:name="_Toc763"/>
      <w:bookmarkStart w:id="83" w:name="_Toc1711"/>
      <w:bookmarkStart w:id="84" w:name="_Toc171603626"/>
      <w:bookmarkStart w:id="85" w:name="_Toc31722"/>
      <w:bookmarkStart w:id="86" w:name="_Toc2718"/>
      <w:r>
        <w:t>5.9 特殊审核</w:t>
      </w:r>
      <w:bookmarkEnd w:id="82"/>
      <w:bookmarkEnd w:id="83"/>
      <w:bookmarkEnd w:id="84"/>
      <w:bookmarkEnd w:id="85"/>
      <w:bookmarkEnd w:id="86"/>
    </w:p>
    <w:p>
      <w:pPr>
        <w:autoSpaceDE/>
        <w:autoSpaceDN/>
        <w:adjustRightInd/>
        <w:snapToGrid/>
        <w:spacing w:line="240" w:lineRule="auto"/>
        <w:ind w:firstLine="640" w:firstLineChars="200"/>
        <w:outlineLvl w:val="9"/>
        <w:rPr>
          <w:rFonts w:hint="eastAsia" w:ascii="仿宋_GB2312" w:hAnsi="仿宋_GB2312" w:eastAsia="仿宋_GB2312"/>
          <w:sz w:val="32"/>
          <w:szCs w:val="32"/>
        </w:rPr>
      </w:pPr>
      <w:bookmarkStart w:id="87" w:name="_Toc73"/>
      <w:bookmarkStart w:id="88" w:name="_Toc2256"/>
      <w:bookmarkStart w:id="89" w:name="_Toc170821767"/>
      <w:bookmarkStart w:id="90" w:name="_Toc171603627"/>
      <w:bookmarkStart w:id="91" w:name="_Toc22752"/>
      <w:bookmarkStart w:id="92" w:name="_Toc170821654"/>
      <w:r>
        <w:rPr>
          <w:rFonts w:hint="eastAsia" w:ascii="仿宋_GB2312" w:hAnsi="仿宋_GB2312" w:eastAsia="仿宋_GB2312"/>
          <w:sz w:val="32"/>
          <w:szCs w:val="32"/>
        </w:rPr>
        <w:t>5.9.1 扩大认证范围</w:t>
      </w:r>
      <w:bookmarkEnd w:id="87"/>
      <w:bookmarkEnd w:id="88"/>
      <w:bookmarkEnd w:id="89"/>
      <w:bookmarkEnd w:id="90"/>
      <w:bookmarkEnd w:id="91"/>
      <w:bookmarkEnd w:id="92"/>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对于已授予的认证，认证机构应对扩大认证范围的申请进行评审，并确定任何必要的审核活动，以做出是否可予扩大的决定。这类审核活动可以结合监督审核同时进行。</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 xml:space="preserve">5.9.2 </w:t>
      </w:r>
      <w:bookmarkStart w:id="93" w:name="OLE_LINK4"/>
      <w:r>
        <w:rPr>
          <w:rFonts w:hint="eastAsia" w:ascii="仿宋_GB2312" w:hAnsi="仿宋_GB2312" w:eastAsia="仿宋_GB2312"/>
          <w:sz w:val="32"/>
          <w:szCs w:val="32"/>
        </w:rPr>
        <w:t>提前较短时间通知的审核</w:t>
      </w:r>
    </w:p>
    <w:bookmarkEnd w:id="93"/>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为调查投诉、质量事故</w:t>
      </w:r>
      <w:r>
        <w:rPr>
          <w:rFonts w:hint="eastAsia"/>
          <w:lang w:eastAsia="zh-CN"/>
        </w:rPr>
        <w:t>，</w:t>
      </w:r>
      <w:r>
        <w:rPr>
          <w:rFonts w:hint="eastAsia" w:ascii="仿宋_GB2312" w:hAnsi="仿宋_GB2312" w:eastAsia="仿宋_GB2312"/>
          <w:sz w:val="32"/>
          <w:szCs w:val="32"/>
        </w:rPr>
        <w:t>对变更做出回应或对被暂停的客户进行追踪，可能需要在提前较短时间或不通知获证组织的情况下进行审核</w:t>
      </w:r>
      <w:r>
        <w:rPr>
          <w:rFonts w:hint="eastAsia"/>
          <w:lang w:eastAsia="zh-CN"/>
        </w:rPr>
        <w:t>，</w:t>
      </w:r>
      <w:r>
        <w:rPr>
          <w:rFonts w:hint="eastAsia"/>
          <w:lang w:val="en-US" w:eastAsia="zh-CN"/>
        </w:rPr>
        <w:t>此时</w:t>
      </w:r>
      <w:r>
        <w:rPr>
          <w:rFonts w:hint="eastAsia" w:ascii="仿宋_GB2312" w:hAnsi="仿宋_GB2312" w:eastAsia="仿宋_GB2312"/>
          <w:sz w:val="32"/>
          <w:szCs w:val="32"/>
        </w:rPr>
        <w:t>：</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（1）认证机构应说明并使获证组织提前了解将在何种条件下进行此类审核；</w:t>
      </w:r>
    </w:p>
    <w:p>
      <w:pPr>
        <w:autoSpaceDE/>
        <w:autoSpaceDN/>
        <w:adjustRightInd/>
        <w:snapToGrid/>
        <w:spacing w:line="240" w:lineRule="auto"/>
        <w:ind w:firstLine="640" w:firstLineChars="200"/>
        <w:outlineLvl w:val="9"/>
        <w:rPr>
          <w:rFonts w:hint="eastAsia" w:ascii="仿宋_GB2312" w:hAnsi="仿宋_GB2312" w:eastAsia="仿宋_GB2312"/>
          <w:sz w:val="32"/>
          <w:szCs w:val="32"/>
          <w:lang w:eastAsia="zh-CN"/>
        </w:rPr>
      </w:pPr>
      <w:r>
        <w:rPr>
          <w:rFonts w:hint="eastAsia" w:ascii="仿宋_GB2312" w:hAnsi="仿宋_GB2312" w:eastAsia="仿宋_GB2312"/>
          <w:sz w:val="32"/>
          <w:szCs w:val="32"/>
        </w:rPr>
        <w:t>（2）由于获证组织缺乏对审核组成员的任命表示反对的机会，认证机构应在指派审核组时给予更多的关注</w:t>
      </w:r>
      <w:r>
        <w:rPr>
          <w:rFonts w:hint="eastAsia"/>
          <w:sz w:val="32"/>
          <w:szCs w:val="32"/>
          <w:lang w:eastAsia="zh-CN"/>
        </w:rPr>
        <w:t>。</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lang w:val="en-US" w:eastAsia="zh-CN"/>
        </w:rPr>
        <w:t xml:space="preserve">5.9.3 </w:t>
      </w:r>
      <w:r>
        <w:rPr>
          <w:rFonts w:hint="eastAsia" w:ascii="仿宋_GB2312" w:hAnsi="仿宋_GB2312" w:eastAsia="仿宋_GB2312"/>
          <w:sz w:val="32"/>
          <w:szCs w:val="32"/>
        </w:rPr>
        <w:t>获证组织</w:t>
      </w:r>
      <w:r>
        <w:rPr>
          <w:rFonts w:hint="default" w:ascii="仿宋_GB2312" w:hAnsi="仿宋_GB2312" w:eastAsia="仿宋_GB2312"/>
          <w:sz w:val="32"/>
          <w:szCs w:val="32"/>
        </w:rPr>
        <w:t>认证范围内</w:t>
      </w:r>
      <w:r>
        <w:rPr>
          <w:rFonts w:hint="eastAsia" w:ascii="仿宋_GB2312" w:hAnsi="仿宋_GB2312" w:eastAsia="仿宋_GB2312"/>
          <w:sz w:val="32"/>
          <w:szCs w:val="32"/>
        </w:rPr>
        <w:t>的产品在产品质量国家监督抽查中被查出不合格时，自市场监管部门发出通报起30日内，认证机构应对该组织实施</w:t>
      </w:r>
      <w:r>
        <w:rPr>
          <w:rFonts w:hint="eastAsia"/>
        </w:rPr>
        <w:t>提前较短时间通知的审核</w:t>
      </w:r>
      <w:r>
        <w:rPr>
          <w:rFonts w:hint="eastAsia" w:ascii="仿宋_GB2312" w:hAnsi="仿宋_GB2312" w:eastAsia="仿宋_GB2312"/>
          <w:sz w:val="32"/>
          <w:szCs w:val="32"/>
        </w:rPr>
        <w:t>。</w:t>
      </w:r>
    </w:p>
    <w:p>
      <w:pPr>
        <w:pStyle w:val="3"/>
        <w:autoSpaceDE w:val="0"/>
        <w:autoSpaceDN w:val="0"/>
        <w:adjustRightInd w:val="0"/>
        <w:snapToGrid w:val="0"/>
        <w:outlineLvl w:val="1"/>
      </w:pPr>
      <w:bookmarkStart w:id="94" w:name="_Toc28479"/>
      <w:bookmarkStart w:id="95" w:name="_Toc17460"/>
      <w:bookmarkStart w:id="96" w:name="_Toc7089"/>
      <w:bookmarkStart w:id="97" w:name="_Toc32264"/>
      <w:bookmarkStart w:id="98" w:name="_Toc171603628"/>
      <w:r>
        <w:t>5.10 不符合</w:t>
      </w:r>
      <w:r>
        <w:rPr>
          <w:highlight w:val="none"/>
        </w:rPr>
        <w:t>项</w:t>
      </w:r>
      <w:r>
        <w:t>及其验证</w:t>
      </w:r>
      <w:bookmarkEnd w:id="94"/>
      <w:bookmarkEnd w:id="95"/>
      <w:bookmarkEnd w:id="96"/>
      <w:bookmarkEnd w:id="97"/>
      <w:bookmarkEnd w:id="98"/>
    </w:p>
    <w:p>
      <w:pPr>
        <w:autoSpaceDE/>
        <w:autoSpaceDN/>
        <w:adjustRightInd/>
        <w:snapToGrid/>
        <w:spacing w:line="240" w:lineRule="auto"/>
        <w:ind w:firstLine="640" w:firstLineChars="200"/>
        <w:outlineLvl w:val="9"/>
        <w:rPr>
          <w:rFonts w:hint="eastAsia" w:ascii="仿宋_GB2312" w:hAnsi="仿宋_GB2312" w:eastAsia="仿宋_GB2312"/>
          <w:sz w:val="32"/>
          <w:szCs w:val="32"/>
        </w:rPr>
      </w:pPr>
      <w:bookmarkStart w:id="99" w:name="_Toc171603629"/>
      <w:bookmarkStart w:id="100" w:name="_Toc170821769"/>
      <w:bookmarkStart w:id="101" w:name="_Toc19402"/>
      <w:bookmarkStart w:id="102" w:name="_Toc21744"/>
      <w:bookmarkStart w:id="103" w:name="_Toc11115"/>
      <w:r>
        <w:rPr>
          <w:rFonts w:hint="eastAsia" w:ascii="仿宋_GB2312" w:hAnsi="仿宋_GB2312" w:eastAsia="仿宋_GB2312"/>
          <w:sz w:val="32"/>
          <w:szCs w:val="32"/>
        </w:rPr>
        <w:t>5.10.1 对审核中发现的不符合，认证机构应要求</w:t>
      </w:r>
      <w:bookmarkEnd w:id="99"/>
      <w:bookmarkEnd w:id="100"/>
      <w:bookmarkStart w:id="104" w:name="_Toc171603630"/>
      <w:bookmarkStart w:id="105" w:name="_Toc170821770"/>
      <w:r>
        <w:rPr>
          <w:rFonts w:hint="eastAsia" w:ascii="仿宋_GB2312" w:hAnsi="仿宋_GB2312" w:eastAsia="仿宋_GB2312"/>
          <w:sz w:val="32"/>
          <w:szCs w:val="32"/>
        </w:rPr>
        <w:t>认证委托人在规定的时限内进行原因分析，采取相应的纠正措施。</w:t>
      </w:r>
      <w:bookmarkEnd w:id="101"/>
      <w:bookmarkEnd w:id="102"/>
      <w:bookmarkEnd w:id="103"/>
      <w:bookmarkEnd w:id="104"/>
      <w:bookmarkEnd w:id="105"/>
    </w:p>
    <w:p>
      <w:pPr>
        <w:autoSpaceDE/>
        <w:autoSpaceDN/>
        <w:adjustRightInd/>
        <w:snapToGrid/>
        <w:spacing w:line="240" w:lineRule="auto"/>
        <w:ind w:firstLine="640" w:firstLineChars="200"/>
        <w:outlineLvl w:val="9"/>
        <w:rPr>
          <w:rFonts w:hint="eastAsia" w:ascii="仿宋_GB2312" w:hAnsi="仿宋_GB2312" w:eastAsia="仿宋_GB2312"/>
          <w:sz w:val="32"/>
          <w:szCs w:val="32"/>
        </w:rPr>
      </w:pPr>
      <w:bookmarkStart w:id="106" w:name="_Toc9938"/>
      <w:bookmarkStart w:id="107" w:name="_Toc8421"/>
      <w:bookmarkStart w:id="108" w:name="_Toc30330"/>
      <w:r>
        <w:rPr>
          <w:rFonts w:hint="eastAsia" w:ascii="仿宋_GB2312" w:hAnsi="仿宋_GB2312" w:eastAsia="仿宋_GB2312"/>
          <w:sz w:val="32"/>
          <w:szCs w:val="32"/>
        </w:rPr>
        <w:t>5.10.2 认证机构应对认证委托人所采取的纠正措施的有效性进行验证。认证委托人可以针对轻微不符合制定纠正措施计划，由认证机构在下次审核时验证。</w:t>
      </w:r>
      <w:bookmarkEnd w:id="106"/>
      <w:bookmarkEnd w:id="107"/>
      <w:bookmarkEnd w:id="108"/>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5.10.3 严重不符合的验证时限应满足以下要求：</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（1）初次认证：在</w:t>
      </w:r>
      <w:r>
        <w:rPr>
          <w:rFonts w:hint="default" w:ascii="仿宋_GB2312" w:hAnsi="仿宋_GB2312" w:eastAsia="仿宋_GB2312"/>
          <w:sz w:val="32"/>
          <w:szCs w:val="32"/>
        </w:rPr>
        <w:t>第</w:t>
      </w:r>
      <w:r>
        <w:rPr>
          <w:rFonts w:hint="eastAsia" w:ascii="仿宋_GB2312" w:hAnsi="仿宋_GB2312" w:eastAsia="仿宋_GB2312"/>
          <w:sz w:val="32"/>
          <w:szCs w:val="32"/>
        </w:rPr>
        <w:t>二阶段审核结束之日起6个月内完成；</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（2）监督审核：在审核结束之日起3个月内完成；</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（3）再认证：在</w:t>
      </w:r>
      <w:r>
        <w:rPr>
          <w:rFonts w:hint="default" w:ascii="仿宋_GB2312" w:hAnsi="仿宋_GB2312" w:eastAsia="仿宋_GB2312"/>
          <w:sz w:val="32"/>
          <w:szCs w:val="32"/>
          <w:lang w:val="en-US" w:eastAsia="zh-CN"/>
        </w:rPr>
        <w:t>原认证证书到期前</w:t>
      </w:r>
      <w:r>
        <w:rPr>
          <w:rFonts w:hint="eastAsia" w:ascii="仿宋_GB2312" w:hAnsi="仿宋_GB2312" w:eastAsia="仿宋_GB2312"/>
          <w:sz w:val="32"/>
          <w:szCs w:val="32"/>
        </w:rPr>
        <w:t>完成。</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5.10.4 对于认证委托人未能在规定的时限内完成对不符合所采取措施的情</w:t>
      </w:r>
      <w:r>
        <w:rPr>
          <w:rFonts w:hint="default" w:ascii="仿宋_GB2312" w:hAnsi="仿宋_GB2312" w:eastAsia="仿宋_GB2312"/>
          <w:sz w:val="32"/>
          <w:szCs w:val="32"/>
        </w:rPr>
        <w:t>况</w:t>
      </w:r>
      <w:r>
        <w:rPr>
          <w:rFonts w:hint="eastAsia" w:ascii="仿宋_GB2312" w:hAnsi="仿宋_GB2312" w:eastAsia="仿宋_GB2312"/>
          <w:sz w:val="32"/>
          <w:szCs w:val="32"/>
        </w:rPr>
        <w:t>，</w:t>
      </w:r>
      <w:bookmarkStart w:id="109" w:name="_Hlk156408206"/>
      <w:r>
        <w:rPr>
          <w:rFonts w:hint="eastAsia" w:ascii="仿宋_GB2312" w:hAnsi="仿宋_GB2312" w:eastAsia="仿宋_GB2312"/>
          <w:sz w:val="32"/>
          <w:szCs w:val="32"/>
        </w:rPr>
        <w:t>认证机构不应做出授予认证、保持认证或更新认证的决定</w:t>
      </w:r>
      <w:bookmarkEnd w:id="109"/>
      <w:r>
        <w:rPr>
          <w:rFonts w:hint="eastAsia" w:ascii="仿宋_GB2312" w:hAnsi="仿宋_GB2312" w:eastAsia="仿宋_GB2312"/>
          <w:sz w:val="32"/>
          <w:szCs w:val="32"/>
        </w:rPr>
        <w:t>。</w:t>
      </w:r>
    </w:p>
    <w:p>
      <w:pPr>
        <w:pStyle w:val="3"/>
        <w:autoSpaceDE w:val="0"/>
        <w:autoSpaceDN w:val="0"/>
        <w:adjustRightInd w:val="0"/>
        <w:snapToGrid w:val="0"/>
        <w:ind w:firstLineChars="200"/>
        <w:outlineLvl w:val="1"/>
      </w:pPr>
      <w:bookmarkStart w:id="110" w:name="_Toc17489"/>
      <w:bookmarkStart w:id="111" w:name="_Toc27103"/>
      <w:bookmarkStart w:id="112" w:name="_Toc1412"/>
      <w:bookmarkStart w:id="113" w:name="_Toc171603631"/>
      <w:bookmarkStart w:id="114" w:name="_Toc6903"/>
      <w:r>
        <w:t>5.11 审核报告</w:t>
      </w:r>
      <w:bookmarkEnd w:id="110"/>
      <w:bookmarkEnd w:id="111"/>
      <w:bookmarkEnd w:id="112"/>
      <w:bookmarkEnd w:id="113"/>
      <w:bookmarkEnd w:id="114"/>
    </w:p>
    <w:p>
      <w:pPr>
        <w:autoSpaceDE/>
        <w:autoSpaceDN/>
        <w:adjustRightInd/>
        <w:snapToGrid/>
        <w:spacing w:line="240" w:lineRule="auto"/>
        <w:ind w:firstLine="640" w:firstLineChars="200"/>
        <w:outlineLvl w:val="9"/>
        <w:rPr>
          <w:rFonts w:hint="eastAsia" w:ascii="仿宋_GB2312" w:hAnsi="仿宋_GB2312" w:eastAsia="仿宋_GB2312"/>
          <w:sz w:val="32"/>
          <w:szCs w:val="32"/>
        </w:rPr>
      </w:pPr>
      <w:bookmarkStart w:id="115" w:name="_Toc170821658"/>
      <w:bookmarkStart w:id="116" w:name="_Toc288"/>
      <w:bookmarkStart w:id="117" w:name="_Toc171603632"/>
      <w:bookmarkStart w:id="118" w:name="_Toc170821772"/>
      <w:bookmarkStart w:id="119" w:name="_Toc32611"/>
      <w:bookmarkStart w:id="120" w:name="_Toc2312"/>
      <w:r>
        <w:rPr>
          <w:rFonts w:hint="eastAsia" w:ascii="仿宋_GB2312" w:hAnsi="仿宋_GB2312" w:eastAsia="仿宋_GB2312"/>
          <w:sz w:val="32"/>
          <w:szCs w:val="32"/>
        </w:rPr>
        <w:t>5.11.1 认证机构应就每次审核向认证委托人提供书面的审核报告。</w:t>
      </w:r>
      <w:r>
        <w:rPr>
          <w:rFonts w:hint="eastAsia" w:ascii="仿宋_GB2312" w:hAnsi="仿宋_GB2312" w:eastAsia="仿宋_GB2312"/>
          <w:sz w:val="32"/>
          <w:szCs w:val="32"/>
          <w:highlight w:val="none"/>
        </w:rPr>
        <w:t>审核组</w:t>
      </w:r>
      <w:r>
        <w:rPr>
          <w:rFonts w:hint="eastAsia" w:ascii="仿宋_GB2312" w:hAnsi="仿宋_GB2312" w:eastAsia="仿宋_GB2312"/>
          <w:sz w:val="32"/>
          <w:szCs w:val="32"/>
        </w:rPr>
        <w:t>长应对审核报告的内容负责。</w:t>
      </w:r>
      <w:bookmarkEnd w:id="115"/>
      <w:bookmarkEnd w:id="116"/>
      <w:bookmarkEnd w:id="117"/>
      <w:bookmarkEnd w:id="118"/>
      <w:bookmarkEnd w:id="119"/>
      <w:bookmarkEnd w:id="120"/>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5.11.2 审核报告的内容应准确、简明和清晰，反映认证委托人QMS的真实状况，描述对照GB/T 19001/ISO 9001标准的符合性和有效性的客观证据信息，及对认证结论的推荐意见。</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5.11.3 审核报告至少应包括或引用以下内容：</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（1）认证机构名称；</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（2）认证委托人的名称和地址及其代表；</w:t>
      </w:r>
    </w:p>
    <w:p>
      <w:pPr>
        <w:autoSpaceDE/>
        <w:autoSpaceDN/>
        <w:adjustRightInd/>
        <w:snapToGrid/>
        <w:spacing w:line="240" w:lineRule="auto"/>
        <w:ind w:left="0" w:leftChars="0"/>
        <w:outlineLvl w:val="9"/>
        <w:rPr>
          <w:rFonts w:hint="eastAsia"/>
        </w:rPr>
      </w:pPr>
      <w:r>
        <w:rPr>
          <w:rFonts w:hint="eastAsia" w:ascii="仿宋_GB2312" w:hAnsi="仿宋_GB2312" w:eastAsia="仿宋_GB2312"/>
          <w:sz w:val="32"/>
          <w:szCs w:val="32"/>
        </w:rPr>
        <w:t>（3）审核类型（如</w:t>
      </w:r>
      <w:r>
        <w:rPr>
          <w:rFonts w:hint="eastAsia"/>
          <w:sz w:val="32"/>
          <w:szCs w:val="32"/>
          <w:lang w:eastAsia="zh-CN"/>
        </w:rPr>
        <w:t>，</w:t>
      </w:r>
      <w:r>
        <w:rPr>
          <w:rFonts w:hint="eastAsia" w:ascii="仿宋_GB2312" w:hAnsi="仿宋_GB2312" w:eastAsia="仿宋_GB2312"/>
          <w:sz w:val="32"/>
          <w:szCs w:val="32"/>
        </w:rPr>
        <w:t>初次</w:t>
      </w:r>
      <w:r>
        <w:rPr>
          <w:rFonts w:hint="eastAsia"/>
          <w:lang w:val="en-US" w:eastAsia="zh-CN"/>
        </w:rPr>
        <w:t>认证</w:t>
      </w:r>
      <w:r>
        <w:rPr>
          <w:rFonts w:hint="eastAsia" w:ascii="仿宋_GB2312" w:hAnsi="仿宋_GB2312" w:eastAsia="仿宋_GB2312"/>
          <w:sz w:val="32"/>
          <w:szCs w:val="32"/>
        </w:rPr>
        <w:t>、监督、再认证或其他类型）；</w:t>
      </w:r>
    </w:p>
    <w:p>
      <w:pPr>
        <w:autoSpaceDE/>
        <w:autoSpaceDN/>
        <w:adjustRightInd/>
        <w:snapToGrid/>
        <w:spacing w:line="240" w:lineRule="auto"/>
        <w:ind w:left="0" w:leftChars="0"/>
        <w:outlineLvl w:val="9"/>
        <w:rPr>
          <w:rFonts w:hint="eastAsia" w:ascii="仿宋_GB2312" w:hAnsi="仿宋_GB2312" w:eastAsia="仿宋_GB2312"/>
          <w:sz w:val="32"/>
          <w:szCs w:val="32"/>
        </w:rPr>
      </w:pPr>
      <w:r>
        <w:rPr>
          <w:rFonts w:hint="eastAsia" w:ascii="仿宋_GB2312" w:hAnsi="仿宋_GB2312" w:eastAsia="仿宋_GB2312"/>
          <w:sz w:val="32"/>
          <w:szCs w:val="32"/>
        </w:rPr>
        <w:t>（4）结合、联合或一体化审核情况（适用时）；</w:t>
      </w:r>
    </w:p>
    <w:p>
      <w:pPr>
        <w:autoSpaceDE/>
        <w:autoSpaceDN/>
        <w:adjustRightInd/>
        <w:snapToGrid/>
        <w:spacing w:line="240" w:lineRule="auto"/>
        <w:ind w:left="0" w:leftChars="0"/>
        <w:outlineLvl w:val="9"/>
        <w:rPr>
          <w:rFonts w:hint="eastAsia" w:ascii="仿宋_GB2312" w:hAnsi="仿宋_GB2312" w:eastAsia="仿宋_GB2312"/>
          <w:sz w:val="32"/>
          <w:szCs w:val="32"/>
        </w:rPr>
      </w:pPr>
      <w:r>
        <w:rPr>
          <w:rFonts w:hint="eastAsia" w:ascii="仿宋_GB2312" w:hAnsi="仿宋_GB2312" w:eastAsia="仿宋_GB2312"/>
          <w:sz w:val="32"/>
          <w:szCs w:val="32"/>
        </w:rPr>
        <w:t>（5）审核准则；</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（6）审核目的及其是否达到的确认；</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（7）审核范围，特别是标识出所审核的组织、职能单元或过程，以及审核时间；</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（8）任何偏离审核计划的情况及其理由；</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（9）任何影响审核方案的重要事项；</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（10）审核组成员姓名、身份及任何与审核组同行的人员；</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（11）审核活动（现场或非现场，永久或临时场所）的实施日期和地点；</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12）应描述与审核类型要求一致的审核发现、审核证据（或审核证据的引用）以及审核结论，重点反映认证委托人主要产品和服务提供过程与控制情况、内部审核和管理评审的过程、所取得的绩效，认证委托人实际情况与其预期质量目标之间存在的差距和改进机会；</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（13）行政监管部门在质量方面抽查的不合格情况，及相关原因分析和整改措施的有效性（适用时）；</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bookmarkStart w:id="121" w:name="_Hlk156407700"/>
      <w:r>
        <w:rPr>
          <w:rFonts w:hint="eastAsia" w:ascii="仿宋_GB2312" w:hAnsi="仿宋_GB2312" w:eastAsia="仿宋_GB2312"/>
          <w:sz w:val="32"/>
          <w:szCs w:val="32"/>
        </w:rPr>
        <w:t>（14）上次审核后发生的影响认证委托人QMS的重要变更（适用时）；</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（15）</w:t>
      </w:r>
      <w:r>
        <w:rPr>
          <w:rFonts w:hint="eastAsia"/>
          <w:lang w:val="en-US" w:eastAsia="zh-CN"/>
        </w:rPr>
        <w:t>获证组织</w:t>
      </w:r>
      <w:r>
        <w:rPr>
          <w:rFonts w:hint="eastAsia" w:ascii="仿宋_GB2312" w:hAnsi="仿宋_GB2312" w:eastAsia="仿宋_GB2312"/>
          <w:sz w:val="32"/>
          <w:szCs w:val="32"/>
        </w:rPr>
        <w:t>对认证证书和认证标志使用的控制</w:t>
      </w:r>
      <w:r>
        <w:rPr>
          <w:rFonts w:hint="eastAsia"/>
          <w:lang w:val="en-US" w:eastAsia="zh-CN"/>
        </w:rPr>
        <w:t>情况</w:t>
      </w:r>
      <w:r>
        <w:rPr>
          <w:rFonts w:hint="eastAsia" w:ascii="仿宋_GB2312" w:hAnsi="仿宋_GB2312" w:eastAsia="仿宋_GB2312"/>
          <w:sz w:val="32"/>
          <w:szCs w:val="32"/>
        </w:rPr>
        <w:t>（适用时）；</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（16）对以前不符合采取的纠正措施有效性的验证情况（适用时）；</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（17）已识别出的任何未解决的问题；</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（18）说明审核基于对可获得信息的抽样过程的免责声明</w:t>
      </w:r>
      <w:bookmarkEnd w:id="121"/>
      <w:bookmarkStart w:id="122" w:name="_Hlk156407880"/>
      <w:r>
        <w:rPr>
          <w:rFonts w:hint="eastAsia" w:ascii="仿宋_GB2312" w:hAnsi="仿宋_GB2312" w:eastAsia="仿宋_GB2312"/>
          <w:sz w:val="32"/>
          <w:szCs w:val="32"/>
        </w:rPr>
        <w:t>；</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（19）审核组的推荐意见以及</w:t>
      </w:r>
      <w:bookmarkEnd w:id="122"/>
      <w:bookmarkStart w:id="123" w:name="_Hlk156407871"/>
      <w:r>
        <w:rPr>
          <w:rFonts w:hint="eastAsia" w:ascii="仿宋_GB2312" w:hAnsi="仿宋_GB2312" w:eastAsia="仿宋_GB2312"/>
          <w:sz w:val="32"/>
          <w:szCs w:val="32"/>
        </w:rPr>
        <w:t>对</w:t>
      </w:r>
      <w:r>
        <w:rPr>
          <w:rFonts w:hint="eastAsia"/>
          <w:lang w:val="en-US" w:eastAsia="zh-CN"/>
        </w:rPr>
        <w:t>申请的</w:t>
      </w:r>
      <w:r>
        <w:rPr>
          <w:rFonts w:hint="eastAsia" w:ascii="仿宋_GB2312" w:hAnsi="仿宋_GB2312" w:eastAsia="仿宋_GB2312"/>
          <w:sz w:val="32"/>
          <w:szCs w:val="32"/>
        </w:rPr>
        <w:t>认证范围适宜性的结论。</w:t>
      </w:r>
      <w:bookmarkEnd w:id="123"/>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5.11.4 认证机构应保留用于证实审核报告中相关信息的</w:t>
      </w:r>
      <w:r>
        <w:rPr>
          <w:rFonts w:hint="default" w:ascii="仿宋_GB2312" w:hAnsi="仿宋_GB2312" w:eastAsia="仿宋_GB2312"/>
          <w:sz w:val="32"/>
          <w:szCs w:val="32"/>
          <w:lang w:val="en-US" w:eastAsia="zh-CN"/>
        </w:rPr>
        <w:t>审核</w:t>
      </w:r>
      <w:r>
        <w:rPr>
          <w:rFonts w:hint="eastAsia" w:ascii="仿宋_GB2312" w:hAnsi="仿宋_GB2312" w:eastAsia="仿宋_GB2312"/>
          <w:sz w:val="32"/>
          <w:szCs w:val="32"/>
        </w:rPr>
        <w:t>证据。</w:t>
      </w:r>
    </w:p>
    <w:p>
      <w:pPr>
        <w:autoSpaceDE w:val="0"/>
        <w:autoSpaceDN w:val="0"/>
        <w:adjustRightInd w:val="0"/>
        <w:snapToGrid w:val="0"/>
        <w:outlineLvl w:val="2"/>
        <w:rPr>
          <w:rFonts w:hint="eastAsia" w:ascii="仿宋_GB2312" w:hAnsi="仿宋_GB2312" w:eastAsia="仿宋_GB2312"/>
        </w:rPr>
      </w:pPr>
      <w:r>
        <w:rPr>
          <w:rFonts w:hint="eastAsia" w:ascii="仿宋_GB2312" w:hAnsi="仿宋_GB2312" w:eastAsia="仿宋_GB2312"/>
          <w:sz w:val="32"/>
          <w:szCs w:val="32"/>
        </w:rPr>
        <w:t>5.11.</w:t>
      </w:r>
      <w:r>
        <w:rPr>
          <w:rFonts w:hint="default" w:ascii="仿宋_GB2312" w:hAnsi="仿宋_GB2312" w:eastAsia="仿宋_GB2312"/>
          <w:sz w:val="32"/>
          <w:szCs w:val="32"/>
        </w:rPr>
        <w:t>5</w:t>
      </w:r>
      <w:r>
        <w:rPr>
          <w:rFonts w:hint="eastAsia" w:ascii="仿宋_GB2312" w:hAnsi="仿宋_GB2312" w:eastAsia="仿宋_GB2312"/>
          <w:sz w:val="32"/>
          <w:szCs w:val="32"/>
        </w:rPr>
        <w:t xml:space="preserve"> 对终止审核的项目，审核组应将终止审核的原因以及已开展的工作情况形成报告，认证机构应将此报告提交给认证委托人。</w:t>
      </w:r>
    </w:p>
    <w:p>
      <w:pPr>
        <w:pStyle w:val="3"/>
        <w:autoSpaceDE w:val="0"/>
        <w:autoSpaceDN w:val="0"/>
        <w:adjustRightInd w:val="0"/>
        <w:snapToGrid w:val="0"/>
        <w:ind w:firstLineChars="200"/>
        <w:outlineLvl w:val="1"/>
      </w:pPr>
      <w:bookmarkStart w:id="124" w:name="_Toc171603633"/>
      <w:bookmarkStart w:id="125" w:name="_Toc20137"/>
      <w:bookmarkStart w:id="126" w:name="_Toc21732"/>
      <w:bookmarkStart w:id="127" w:name="_Toc22930"/>
      <w:bookmarkStart w:id="128" w:name="_Toc10337"/>
      <w:r>
        <w:t>5.12 认证决定</w:t>
      </w:r>
      <w:bookmarkEnd w:id="124"/>
      <w:bookmarkEnd w:id="125"/>
      <w:bookmarkEnd w:id="126"/>
      <w:bookmarkEnd w:id="127"/>
      <w:bookmarkEnd w:id="128"/>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5.12.1 认证机构应在对审核报告、不符合的纠正措施及验证情况和其他信息进行</w:t>
      </w:r>
      <w:r>
        <w:rPr>
          <w:rFonts w:hint="default" w:ascii="仿宋_GB2312" w:hAnsi="仿宋_GB2312" w:eastAsia="仿宋_GB2312"/>
          <w:sz w:val="32"/>
          <w:szCs w:val="32"/>
          <w:lang w:val="en-US" w:eastAsia="zh-CN"/>
        </w:rPr>
        <w:t>复核、</w:t>
      </w:r>
      <w:r>
        <w:rPr>
          <w:rFonts w:hint="eastAsia" w:ascii="仿宋_GB2312" w:hAnsi="仿宋_GB2312" w:eastAsia="仿宋_GB2312"/>
          <w:sz w:val="32"/>
          <w:szCs w:val="32"/>
        </w:rPr>
        <w:t>综合评价的基础上，做出认证决定。认证决定人员应为认证机构的专职认证人员，并不得为审核组成员，能力应满足关于认证机构资质审批的相关要求。</w:t>
      </w:r>
      <w:bookmarkStart w:id="129" w:name="_Hlk156408277"/>
      <w:r>
        <w:rPr>
          <w:rFonts w:hint="eastAsia" w:ascii="仿宋_GB2312" w:hAnsi="仿宋_GB2312" w:eastAsia="仿宋_GB2312"/>
          <w:kern w:val="2"/>
          <w:sz w:val="32"/>
          <w:szCs w:val="32"/>
        </w:rPr>
        <w:t>认证决定过程不得外包</w:t>
      </w:r>
      <w:bookmarkEnd w:id="129"/>
      <w:r>
        <w:rPr>
          <w:rFonts w:hint="eastAsia" w:ascii="仿宋_GB2312" w:hAnsi="仿宋_GB2312" w:eastAsia="仿宋_GB2312"/>
          <w:sz w:val="32"/>
          <w:szCs w:val="32"/>
        </w:rPr>
        <w:t>，认证决定须由中华人民共和国境内的工作人员做出。</w:t>
      </w:r>
    </w:p>
    <w:p>
      <w:pPr>
        <w:autoSpaceDE/>
        <w:autoSpaceDN/>
        <w:adjustRightInd/>
        <w:snapToGrid/>
        <w:spacing w:line="240" w:lineRule="auto"/>
        <w:ind w:firstLine="640" w:firstLineChars="200"/>
        <w:outlineLvl w:val="9"/>
        <w:rPr>
          <w:rFonts w:hint="eastAsia" w:ascii="仿宋_GB2312" w:hAnsi="仿宋_GB2312" w:eastAsia="仿宋_GB2312"/>
          <w:kern w:val="2"/>
          <w:sz w:val="32"/>
          <w:szCs w:val="32"/>
        </w:rPr>
      </w:pPr>
      <w:r>
        <w:rPr>
          <w:rFonts w:hint="eastAsia" w:ascii="仿宋_GB2312" w:hAnsi="仿宋_GB2312" w:eastAsia="仿宋_GB2312"/>
          <w:sz w:val="32"/>
          <w:szCs w:val="32"/>
        </w:rPr>
        <w:t>5.12.2 认证机构应有充分的证据确认认证委托人满足下列条件</w:t>
      </w:r>
      <w:r>
        <w:rPr>
          <w:rFonts w:hint="eastAsia"/>
          <w:sz w:val="32"/>
          <w:szCs w:val="32"/>
          <w:lang w:eastAsia="zh-CN"/>
        </w:rPr>
        <w:t>的</w:t>
      </w:r>
      <w:r>
        <w:rPr>
          <w:rFonts w:hint="eastAsia" w:ascii="仿宋_GB2312" w:hAnsi="仿宋_GB2312" w:eastAsia="仿宋_GB2312"/>
          <w:sz w:val="32"/>
          <w:szCs w:val="32"/>
        </w:rPr>
        <w:t>，做出授予、更新、扩大认证范围的决定：</w:t>
      </w:r>
    </w:p>
    <w:p>
      <w:pPr>
        <w:widowControl/>
        <w:adjustRightInd/>
        <w:snapToGrid/>
        <w:spacing w:line="240" w:lineRule="auto"/>
        <w:ind w:firstLine="640" w:firstLineChars="200"/>
        <w:rPr>
          <w:rFonts w:hint="eastAsia" w:ascii="仿宋_GB2312" w:hAnsi="仿宋_GB2312" w:eastAsia="仿宋_GB2312"/>
          <w:kern w:val="2"/>
          <w:sz w:val="32"/>
          <w:szCs w:val="32"/>
        </w:rPr>
      </w:pPr>
      <w:r>
        <w:rPr>
          <w:rFonts w:hint="eastAsia" w:ascii="仿宋_GB2312" w:hAnsi="仿宋_GB2312" w:eastAsia="仿宋_GB2312"/>
          <w:kern w:val="2"/>
          <w:sz w:val="32"/>
          <w:szCs w:val="32"/>
        </w:rPr>
        <w:t>（1）5.1.2中的条件；</w:t>
      </w:r>
    </w:p>
    <w:p>
      <w:pPr>
        <w:widowControl/>
        <w:adjustRightInd/>
        <w:snapToGrid/>
        <w:spacing w:line="240" w:lineRule="auto"/>
        <w:ind w:firstLine="640" w:firstLineChars="200"/>
        <w:rPr>
          <w:rFonts w:hint="eastAsia" w:ascii="仿宋_GB2312" w:hAnsi="仿宋_GB2312" w:eastAsia="仿宋_GB2312"/>
          <w:kern w:val="2"/>
          <w:sz w:val="32"/>
          <w:szCs w:val="32"/>
        </w:rPr>
      </w:pPr>
      <w:r>
        <w:rPr>
          <w:rFonts w:hint="eastAsia" w:ascii="仿宋_GB2312" w:hAnsi="仿宋_GB2312" w:eastAsia="仿宋_GB2312"/>
          <w:kern w:val="2"/>
          <w:sz w:val="32"/>
          <w:szCs w:val="32"/>
        </w:rPr>
        <w:t>（2）对于严重不符合，已评审、接受并验证了纠正措施的有效性；对于轻微不符合，已评审、接受了认证委托人的纠正措施或计划采取的纠正措施；</w:t>
      </w:r>
    </w:p>
    <w:p>
      <w:pPr>
        <w:adjustRightInd/>
        <w:snapToGrid/>
        <w:spacing w:line="240" w:lineRule="auto"/>
        <w:ind w:firstLine="640" w:firstLineChars="200"/>
        <w:rPr>
          <w:rFonts w:hint="eastAsia" w:ascii="仿宋_GB2312" w:hAnsi="仿宋_GB2312" w:eastAsia="仿宋_GB2312"/>
          <w:kern w:val="2"/>
          <w:sz w:val="32"/>
          <w:szCs w:val="32"/>
        </w:rPr>
      </w:pPr>
      <w:r>
        <w:rPr>
          <w:rFonts w:hint="eastAsia" w:ascii="仿宋_GB2312" w:hAnsi="仿宋_GB2312" w:eastAsia="仿宋_GB2312"/>
          <w:kern w:val="2"/>
          <w:sz w:val="32"/>
          <w:szCs w:val="32"/>
        </w:rPr>
        <w:t>（3）认证委托人的QMS符合GB/T 19001/ISO 9001标准要求且运行有效；</w:t>
      </w:r>
    </w:p>
    <w:p>
      <w:pPr>
        <w:widowControl/>
        <w:adjustRightInd/>
        <w:snapToGrid/>
        <w:spacing w:line="240" w:lineRule="auto"/>
        <w:ind w:firstLine="640" w:firstLineChars="200"/>
        <w:rPr>
          <w:rFonts w:hint="eastAsia" w:ascii="仿宋_GB2312" w:hAnsi="仿宋_GB2312" w:eastAsia="仿宋_GB2312"/>
          <w:kern w:val="2"/>
          <w:sz w:val="32"/>
          <w:szCs w:val="32"/>
        </w:rPr>
      </w:pPr>
      <w:r>
        <w:rPr>
          <w:rFonts w:hint="eastAsia" w:ascii="仿宋_GB2312" w:hAnsi="仿宋_GB2312" w:eastAsia="仿宋_GB2312"/>
          <w:kern w:val="2"/>
          <w:sz w:val="32"/>
          <w:szCs w:val="32"/>
        </w:rPr>
        <w:t>（4）</w:t>
      </w:r>
      <w:bookmarkStart w:id="130" w:name="_Hlk156408458"/>
      <w:r>
        <w:rPr>
          <w:rFonts w:hint="eastAsia" w:ascii="仿宋_GB2312" w:hAnsi="仿宋_GB2312" w:eastAsia="仿宋_GB2312"/>
          <w:kern w:val="2"/>
          <w:sz w:val="32"/>
          <w:szCs w:val="32"/>
        </w:rPr>
        <w:t>认证委托人按照认证合同规定履行了相关义务</w:t>
      </w:r>
      <w:bookmarkEnd w:id="130"/>
      <w:r>
        <w:rPr>
          <w:rFonts w:hint="eastAsia" w:ascii="仿宋_GB2312" w:hAnsi="仿宋_GB2312" w:eastAsia="仿宋_GB2312"/>
          <w:kern w:val="2"/>
          <w:sz w:val="32"/>
          <w:szCs w:val="32"/>
        </w:rPr>
        <w:t>。</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5.12.3 初次认证审核的认证决定应在现场审核后6个月内完成。否则应在推荐认证注册前再实施一次第二阶段审核。</w:t>
      </w:r>
    </w:p>
    <w:p>
      <w:pPr>
        <w:autoSpaceDE/>
        <w:autoSpaceDN/>
        <w:adjustRightInd/>
        <w:snapToGrid/>
        <w:spacing w:line="240" w:lineRule="auto"/>
        <w:ind w:firstLine="640" w:firstLineChars="200"/>
        <w:outlineLvl w:val="9"/>
        <w:rPr>
          <w:rFonts w:hint="default" w:ascii="仿宋_GB2312" w:hAnsi="仿宋_GB2312" w:eastAsia="仿宋_GB2312"/>
          <w:sz w:val="32"/>
          <w:szCs w:val="32"/>
          <w:highlight w:val="none"/>
        </w:rPr>
      </w:pPr>
      <w:r>
        <w:rPr>
          <w:rFonts w:hint="eastAsia" w:ascii="仿宋_GB2312" w:hAnsi="仿宋_GB2312" w:eastAsia="仿宋_GB2312"/>
          <w:sz w:val="32"/>
          <w:szCs w:val="32"/>
        </w:rPr>
        <w:t xml:space="preserve">5.12.4 </w:t>
      </w:r>
      <w:r>
        <w:rPr>
          <w:rFonts w:hint="default" w:ascii="仿宋_GB2312" w:hAnsi="仿宋_GB2312" w:eastAsia="仿宋_GB2312"/>
          <w:sz w:val="32"/>
          <w:szCs w:val="32"/>
          <w:highlight w:val="none"/>
        </w:rPr>
        <w:t>再认证审核的认证决定宜在上一认证周期认证证书到期前完成，最迟应在证书到期之日起6个月内完成。如果在当前认证证书终止日期前，认证机构未能完成再认证审核或对严重不符合实施的纠正和纠正措施未能进行验证，则不应予以再认证，也不应延长原认证证书的有效期。</w:t>
      </w:r>
    </w:p>
    <w:p>
      <w:pPr>
        <w:autoSpaceDE/>
        <w:autoSpaceDN/>
        <w:adjustRightInd/>
        <w:snapToGrid/>
        <w:spacing w:line="240" w:lineRule="auto"/>
        <w:ind w:firstLine="640" w:firstLineChars="200"/>
        <w:outlineLvl w:val="9"/>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5.12.5 认证委托人不能满足5.12.2要求的，认证机构应以书面形式告知其未通过认证的原因。</w:t>
      </w:r>
    </w:p>
    <w:p>
      <w:pPr>
        <w:autoSpaceDE/>
        <w:autoSpaceDN/>
        <w:adjustRightInd/>
        <w:snapToGrid/>
        <w:spacing w:line="240" w:lineRule="auto"/>
        <w:ind w:firstLine="640" w:firstLineChars="200"/>
        <w:outlineLvl w:val="9"/>
        <w:rPr>
          <w:rFonts w:hint="eastAsia" w:ascii="仿宋_GB2312" w:hAnsi="仿宋_GB2312" w:eastAsia="仿宋_GB2312"/>
          <w:sz w:val="32"/>
          <w:szCs w:val="32"/>
          <w:highlight w:val="none"/>
        </w:rPr>
      </w:pPr>
      <w:bookmarkStart w:id="131" w:name="_Hlk156408923"/>
      <w:r>
        <w:rPr>
          <w:rFonts w:hint="eastAsia" w:ascii="仿宋_GB2312" w:hAnsi="仿宋_GB2312" w:eastAsia="仿宋_GB2312"/>
          <w:sz w:val="32"/>
          <w:szCs w:val="32"/>
          <w:highlight w:val="none"/>
        </w:rPr>
        <w:t>5.12.6 对于监督审核，认证机构在满足下列条件时，可根据审核组长的肯定性结论保持对获证组织的认证，无需再进行独立的认证决定：</w:t>
      </w:r>
    </w:p>
    <w:p>
      <w:pPr>
        <w:autoSpaceDE/>
        <w:autoSpaceDN/>
        <w:adjustRightInd/>
        <w:snapToGrid/>
        <w:spacing w:line="240" w:lineRule="auto"/>
        <w:ind w:firstLine="640" w:firstLineChars="200"/>
        <w:outlineLvl w:val="9"/>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（1）监督审核未发现严重不符合及其他可能导致认证</w:t>
      </w:r>
      <w:r>
        <w:rPr>
          <w:rFonts w:hint="default" w:ascii="仿宋_GB2312" w:hAnsi="仿宋_GB2312" w:eastAsia="仿宋_GB2312"/>
          <w:sz w:val="32"/>
          <w:szCs w:val="32"/>
          <w:highlight w:val="none"/>
          <w:lang w:eastAsia="zh-CN"/>
        </w:rPr>
        <w:t>证书</w:t>
      </w:r>
      <w:r>
        <w:rPr>
          <w:rFonts w:hint="eastAsia" w:ascii="仿宋_GB2312" w:hAnsi="仿宋_GB2312" w:eastAsia="仿宋_GB2312"/>
          <w:sz w:val="32"/>
          <w:szCs w:val="32"/>
          <w:highlight w:val="none"/>
        </w:rPr>
        <w:t>暂停、撤销的情况；</w:t>
      </w:r>
      <w:bookmarkEnd w:id="131"/>
      <w:bookmarkStart w:id="132" w:name="_Toc171603634"/>
    </w:p>
    <w:p>
      <w:pPr>
        <w:autoSpaceDE/>
        <w:autoSpaceDN/>
        <w:adjustRightInd/>
        <w:snapToGrid/>
        <w:spacing w:line="240" w:lineRule="auto"/>
        <w:ind w:firstLine="640" w:firstLineChars="200"/>
        <w:outlineLvl w:val="9"/>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（2）获证组织认证信息未发生变更，不存在扩大、缩小认证范围的情况；</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highlight w:val="none"/>
        </w:rPr>
        <w:t>（3）认证机构建立了监督审核的监视机制并予以实</w:t>
      </w:r>
      <w:r>
        <w:rPr>
          <w:rFonts w:hint="eastAsia" w:ascii="仿宋_GB2312" w:hAnsi="仿宋_GB2312" w:eastAsia="仿宋_GB2312"/>
          <w:sz w:val="32"/>
          <w:szCs w:val="32"/>
        </w:rPr>
        <w:t>施，可确保监督审核活动的有效性。</w:t>
      </w:r>
    </w:p>
    <w:p>
      <w:pPr>
        <w:pStyle w:val="47"/>
        <w:autoSpaceDE w:val="0"/>
        <w:autoSpaceDN w:val="0"/>
        <w:adjustRightInd w:val="0"/>
        <w:snapToGrid w:val="0"/>
        <w:ind w:firstLine="624" w:firstLineChars="0"/>
        <w:outlineLvl w:val="2"/>
        <w:rPr>
          <w:rFonts w:ascii="Times New Roman" w:hAnsi="Times New Roman" w:eastAsia="黑体"/>
          <w:sz w:val="32"/>
          <w:szCs w:val="32"/>
        </w:rPr>
      </w:pPr>
      <w:r>
        <w:rPr>
          <w:rFonts w:hint="eastAsia"/>
          <w:lang w:val="en-US" w:eastAsia="zh-CN"/>
        </w:rPr>
        <w:t xml:space="preserve"> </w:t>
      </w:r>
      <w:bookmarkStart w:id="133" w:name="_Toc7152"/>
      <w:r>
        <w:rPr>
          <w:rFonts w:ascii="Times New Roman" w:hAnsi="Times New Roman" w:eastAsia="黑体"/>
          <w:sz w:val="32"/>
          <w:szCs w:val="32"/>
        </w:rPr>
        <w:t>认证证书和认证标志</w:t>
      </w:r>
      <w:bookmarkEnd w:id="132"/>
      <w:bookmarkEnd w:id="133"/>
    </w:p>
    <w:p>
      <w:pPr>
        <w:pStyle w:val="3"/>
        <w:autoSpaceDE w:val="0"/>
        <w:autoSpaceDN w:val="0"/>
        <w:adjustRightInd w:val="0"/>
        <w:snapToGrid w:val="0"/>
        <w:ind w:firstLineChars="200"/>
      </w:pPr>
      <w:bookmarkStart w:id="134" w:name="_Toc2601"/>
      <w:r>
        <w:t>6.1 总则</w:t>
      </w:r>
      <w:bookmarkEnd w:id="134"/>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6.1.1 认证机构应制定</w:t>
      </w:r>
      <w:r>
        <w:rPr>
          <w:rFonts w:hint="eastAsia"/>
          <w:lang w:val="en-US" w:eastAsia="zh-CN"/>
        </w:rPr>
        <w:t>文件化的</w:t>
      </w:r>
      <w:r>
        <w:rPr>
          <w:rFonts w:hint="eastAsia" w:ascii="仿宋_GB2312" w:hAnsi="仿宋_GB2312" w:eastAsia="仿宋_GB2312"/>
          <w:sz w:val="32"/>
          <w:szCs w:val="32"/>
        </w:rPr>
        <w:t>管理制度，要求获证组织正确使用QMS认证证书和认证标志，以满足《认证证书和认证标志管理办法》相关规定。</w:t>
      </w:r>
    </w:p>
    <w:p>
      <w:pPr>
        <w:autoSpaceDE/>
        <w:autoSpaceDN/>
        <w:adjustRightInd/>
        <w:snapToGrid/>
        <w:spacing w:line="240" w:lineRule="auto"/>
        <w:ind w:firstLine="640" w:firstLineChars="200"/>
        <w:outlineLvl w:val="9"/>
        <w:rPr>
          <w:rFonts w:hint="eastAsia" w:ascii="仿宋_GB2312" w:hAnsi="仿宋_GB2312" w:eastAsia="仿宋_GB2312"/>
          <w:sz w:val="32"/>
          <w:szCs w:val="32"/>
          <w:lang w:val="en-US" w:eastAsia="zh-CN"/>
        </w:rPr>
      </w:pPr>
      <w:r>
        <w:rPr>
          <w:rFonts w:hint="eastAsia" w:ascii="仿宋_GB2312" w:hAnsi="仿宋_GB2312" w:eastAsia="仿宋_GB2312"/>
          <w:sz w:val="32"/>
          <w:szCs w:val="32"/>
        </w:rPr>
        <w:t>6.1.2 获证组织可以在认证</w:t>
      </w:r>
      <w:r>
        <w:rPr>
          <w:rFonts w:hint="default" w:ascii="仿宋_GB2312" w:hAnsi="仿宋_GB2312" w:eastAsia="仿宋_GB2312"/>
          <w:sz w:val="32"/>
          <w:szCs w:val="32"/>
          <w:lang w:val="en-US" w:eastAsia="zh-CN"/>
        </w:rPr>
        <w:t>证书</w:t>
      </w:r>
      <w:r>
        <w:rPr>
          <w:rFonts w:hint="eastAsia" w:ascii="仿宋_GB2312" w:hAnsi="仿宋_GB2312" w:eastAsia="仿宋_GB2312"/>
          <w:sz w:val="32"/>
          <w:szCs w:val="32"/>
        </w:rPr>
        <w:t>有效</w:t>
      </w:r>
      <w:r>
        <w:rPr>
          <w:rFonts w:hint="default" w:ascii="仿宋_GB2312" w:hAnsi="仿宋_GB2312" w:eastAsia="仿宋_GB2312"/>
          <w:sz w:val="32"/>
          <w:szCs w:val="32"/>
          <w:lang w:val="en-US" w:eastAsia="zh-CN"/>
        </w:rPr>
        <w:t>时</w:t>
      </w:r>
      <w:r>
        <w:rPr>
          <w:rFonts w:hint="eastAsia" w:ascii="仿宋_GB2312" w:hAnsi="仿宋_GB2312" w:eastAsia="仿宋_GB2312"/>
          <w:sz w:val="32"/>
          <w:szCs w:val="32"/>
        </w:rPr>
        <w:t>使用QMS</w:t>
      </w:r>
      <w:r>
        <w:rPr>
          <w:rFonts w:hint="default" w:ascii="仿宋_GB2312" w:hAnsi="仿宋_GB2312" w:eastAsia="仿宋_GB2312"/>
          <w:sz w:val="32"/>
          <w:szCs w:val="32"/>
          <w:lang w:val="en-US" w:eastAsia="zh-CN"/>
        </w:rPr>
        <w:t>认证证书和</w:t>
      </w:r>
      <w:r>
        <w:rPr>
          <w:rFonts w:hint="eastAsia" w:ascii="仿宋_GB2312" w:hAnsi="仿宋_GB2312" w:eastAsia="仿宋_GB2312"/>
          <w:sz w:val="32"/>
          <w:szCs w:val="32"/>
        </w:rPr>
        <w:t>认证标志，并接受认证机构的监督管理。</w:t>
      </w:r>
      <w:r>
        <w:rPr>
          <w:rFonts w:hint="default" w:ascii="仿宋_GB2312" w:hAnsi="仿宋_GB2312" w:eastAsia="仿宋_GB2312"/>
          <w:sz w:val="32"/>
          <w:szCs w:val="32"/>
          <w:lang w:val="en-US" w:eastAsia="zh-CN"/>
        </w:rPr>
        <w:t>认证证书处于暂停期间</w:t>
      </w:r>
      <w:r>
        <w:rPr>
          <w:rFonts w:hint="eastAsia"/>
          <w:lang w:val="en-US" w:eastAsia="zh-CN"/>
        </w:rPr>
        <w:t>、</w:t>
      </w:r>
      <w:r>
        <w:rPr>
          <w:rFonts w:hint="default" w:ascii="仿宋_GB2312" w:hAnsi="仿宋_GB2312" w:eastAsia="仿宋_GB2312"/>
          <w:sz w:val="32"/>
          <w:szCs w:val="32"/>
          <w:lang w:val="en-US" w:eastAsia="zh-CN"/>
        </w:rPr>
        <w:t>被撤销或注销后，不得继续使用认证证书和认证标志。</w:t>
      </w:r>
    </w:p>
    <w:p>
      <w:pPr>
        <w:spacing w:line="240" w:lineRule="auto"/>
        <w:ind w:firstLine="640" w:firstLineChars="200"/>
        <w:outlineLvl w:val="9"/>
        <w:rPr>
          <w:rFonts w:hint="eastAsia" w:ascii="仿宋_GB2312" w:hAnsi="仿宋_GB2312" w:eastAsia="仿宋_GB2312"/>
          <w:color w:val="auto"/>
          <w:sz w:val="32"/>
          <w:szCs w:val="32"/>
        </w:rPr>
      </w:pPr>
      <w:r>
        <w:rPr>
          <w:rFonts w:hint="eastAsia" w:ascii="仿宋_GB2312" w:hAnsi="仿宋_GB2312" w:eastAsia="仿宋_GB2312"/>
          <w:sz w:val="32"/>
          <w:szCs w:val="32"/>
        </w:rPr>
        <w:t>6.1.3 获证组织应当在广告等有关宣传中正确使用QMS认证标志，不得在产品上</w:t>
      </w:r>
      <w:r>
        <w:rPr>
          <w:rFonts w:hint="default" w:ascii="仿宋_GB2312" w:hAnsi="仿宋_GB2312" w:eastAsia="仿宋_GB2312"/>
          <w:sz w:val="32"/>
          <w:szCs w:val="32"/>
        </w:rPr>
        <w:t>仅</w:t>
      </w:r>
      <w:r>
        <w:rPr>
          <w:rFonts w:hint="eastAsia" w:ascii="仿宋_GB2312" w:hAnsi="仿宋_GB2312" w:eastAsia="仿宋_GB2312"/>
          <w:sz w:val="32"/>
          <w:szCs w:val="32"/>
        </w:rPr>
        <w:t>标注QMS认证标志，</w:t>
      </w:r>
      <w:r>
        <w:rPr>
          <w:rFonts w:hint="eastAsia" w:ascii="仿宋_GB2312" w:hAnsi="仿宋_GB2312" w:eastAsia="仿宋_GB2312"/>
          <w:color w:val="auto"/>
          <w:sz w:val="32"/>
          <w:szCs w:val="32"/>
        </w:rPr>
        <w:t>只有在注明获证组织通过QMS认证</w:t>
      </w:r>
      <w:r>
        <w:rPr>
          <w:rFonts w:hint="default" w:ascii="仿宋_GB2312" w:hAnsi="仿宋_GB2312" w:eastAsia="仿宋_GB2312"/>
          <w:color w:val="auto"/>
          <w:sz w:val="32"/>
          <w:szCs w:val="32"/>
          <w:lang w:val="en-US" w:eastAsia="zh-CN"/>
        </w:rPr>
        <w:t>及认证机构名称</w:t>
      </w:r>
      <w:r>
        <w:rPr>
          <w:rFonts w:hint="eastAsia" w:ascii="仿宋_GB2312" w:hAnsi="仿宋_GB2312" w:eastAsia="仿宋_GB2312"/>
          <w:color w:val="auto"/>
          <w:sz w:val="32"/>
          <w:szCs w:val="32"/>
        </w:rPr>
        <w:t>的情况下</w:t>
      </w:r>
      <w:r>
        <w:rPr>
          <w:rFonts w:hint="default" w:ascii="仿宋_GB2312" w:hAnsi="仿宋_GB2312" w:eastAsia="仿宋_GB2312"/>
          <w:color w:val="auto"/>
          <w:sz w:val="32"/>
          <w:szCs w:val="32"/>
        </w:rPr>
        <w:t>，</w:t>
      </w:r>
      <w:r>
        <w:rPr>
          <w:rFonts w:hint="eastAsia" w:ascii="仿宋_GB2312" w:hAnsi="仿宋_GB2312" w:eastAsia="仿宋_GB2312"/>
          <w:color w:val="auto"/>
          <w:sz w:val="32"/>
          <w:szCs w:val="32"/>
        </w:rPr>
        <w:t>方可在产品包装上标注QMS认证标志。</w:t>
      </w:r>
    </w:p>
    <w:p>
      <w:pPr>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6.1.4 认证机构发现获证组织未正确使用认证证书和认证标志的，应当要求获证组织立即采取有效纠正措施，并跟踪监督纠正情况。</w:t>
      </w:r>
    </w:p>
    <w:p>
      <w:pPr>
        <w:pStyle w:val="3"/>
        <w:ind w:firstLineChars="200"/>
        <w:outlineLvl w:val="2"/>
      </w:pPr>
      <w:bookmarkStart w:id="135" w:name="_Toc3269"/>
      <w:r>
        <w:t>6.2 认证证书</w:t>
      </w:r>
      <w:bookmarkEnd w:id="135"/>
    </w:p>
    <w:p>
      <w:pPr>
        <w:autoSpaceDE w:val="0"/>
        <w:autoSpaceDN w:val="0"/>
        <w:adjustRightInd w:val="0"/>
        <w:snapToGrid w:val="0"/>
        <w:ind w:firstLine="640" w:firstLineChars="200"/>
        <w:outlineLvl w:val="2"/>
        <w:rPr>
          <w:rFonts w:hint="eastAsia" w:ascii="仿宋_GB2312" w:hAnsi="仿宋_GB2312" w:eastAsia="仿宋_GB2312"/>
          <w:sz w:val="32"/>
          <w:szCs w:val="32"/>
        </w:rPr>
      </w:pPr>
      <w:r>
        <w:rPr>
          <w:rFonts w:hint="eastAsia" w:ascii="仿宋_GB2312" w:hAnsi="仿宋_GB2312" w:eastAsia="仿宋_GB2312"/>
          <w:sz w:val="32"/>
          <w:szCs w:val="32"/>
        </w:rPr>
        <w:t>6.2.1 认证机构应及时向认证决定符合要求的组织出具认证证书，</w:t>
      </w:r>
      <w:r>
        <w:rPr>
          <w:rFonts w:hint="default" w:ascii="仿宋_GB2312" w:hAnsi="仿宋_GB2312" w:eastAsia="仿宋_GB2312"/>
          <w:sz w:val="32"/>
          <w:szCs w:val="32"/>
          <w:highlight w:val="none"/>
        </w:rPr>
        <w:t>认证证书的有效期最长为3年。</w:t>
      </w:r>
    </w:p>
    <w:p>
      <w:pPr>
        <w:autoSpaceDE/>
        <w:autoSpaceDN/>
        <w:adjustRightInd/>
        <w:snapToGrid/>
        <w:spacing w:line="240" w:lineRule="auto"/>
        <w:ind w:firstLine="640" w:firstLineChars="200"/>
        <w:outlineLvl w:val="9"/>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rPr>
        <w:t xml:space="preserve">6.2.2 </w:t>
      </w:r>
      <w:r>
        <w:rPr>
          <w:rFonts w:hint="default" w:ascii="仿宋_GB2312" w:hAnsi="仿宋_GB2312" w:eastAsia="仿宋_GB2312"/>
          <w:sz w:val="32"/>
          <w:szCs w:val="32"/>
          <w:highlight w:val="none"/>
        </w:rPr>
        <w:t>认证证书有效期的起算日期为</w:t>
      </w:r>
      <w:r>
        <w:rPr>
          <w:rFonts w:hint="default" w:ascii="仿宋_GB2312" w:hAnsi="仿宋_GB2312" w:eastAsia="仿宋_GB2312"/>
          <w:sz w:val="32"/>
          <w:szCs w:val="32"/>
          <w:highlight w:val="none"/>
          <w:lang w:val="en-US" w:eastAsia="zh-CN"/>
        </w:rPr>
        <w:t>认证</w:t>
      </w:r>
      <w:r>
        <w:rPr>
          <w:rFonts w:hint="default" w:ascii="仿宋_GB2312" w:hAnsi="仿宋_GB2312" w:eastAsia="仿宋_GB2312"/>
          <w:sz w:val="32"/>
          <w:szCs w:val="32"/>
          <w:highlight w:val="none"/>
        </w:rPr>
        <w:t>证书签发日期</w:t>
      </w:r>
      <w:r>
        <w:rPr>
          <w:rFonts w:hint="default" w:ascii="仿宋_GB2312" w:hAnsi="仿宋_GB2312" w:eastAsia="仿宋_GB2312"/>
          <w:sz w:val="32"/>
          <w:szCs w:val="32"/>
          <w:highlight w:val="none"/>
          <w:lang w:eastAsia="zh-CN"/>
        </w:rPr>
        <w:t>，</w:t>
      </w:r>
      <w:r>
        <w:rPr>
          <w:rFonts w:hint="eastAsia" w:ascii="仿宋_GB2312" w:hAnsi="仿宋_GB2312" w:eastAsia="仿宋_GB2312"/>
          <w:sz w:val="32"/>
          <w:szCs w:val="32"/>
        </w:rPr>
        <w:t>认证证书的签发日期不应早于做出认证决定</w:t>
      </w:r>
      <w:r>
        <w:rPr>
          <w:rFonts w:hint="default" w:ascii="仿宋_GB2312" w:hAnsi="仿宋_GB2312" w:eastAsia="仿宋_GB2312"/>
          <w:sz w:val="32"/>
          <w:szCs w:val="32"/>
        </w:rPr>
        <w:t>的</w:t>
      </w:r>
      <w:r>
        <w:rPr>
          <w:rFonts w:hint="eastAsia" w:ascii="仿宋_GB2312" w:hAnsi="仿宋_GB2312" w:eastAsia="仿宋_GB2312"/>
          <w:sz w:val="32"/>
          <w:szCs w:val="32"/>
        </w:rPr>
        <w:t>日期。</w:t>
      </w:r>
    </w:p>
    <w:p>
      <w:pPr>
        <w:autoSpaceDE/>
        <w:autoSpaceDN/>
        <w:adjustRightInd/>
        <w:snapToGrid/>
        <w:spacing w:line="240" w:lineRule="auto"/>
        <w:ind w:firstLine="640" w:firstLineChars="200"/>
        <w:outlineLvl w:val="9"/>
        <w:rPr>
          <w:rFonts w:hint="eastAsia" w:ascii="仿宋_GB2312" w:hAnsi="仿宋_GB2312" w:eastAsia="仿宋_GB2312"/>
          <w:sz w:val="32"/>
          <w:szCs w:val="32"/>
          <w:highlight w:val="none"/>
          <w:lang w:val="en-US" w:eastAsia="zh-CN"/>
        </w:rPr>
      </w:pPr>
      <w:r>
        <w:rPr>
          <w:rFonts w:hint="default" w:ascii="仿宋_GB2312" w:hAnsi="仿宋_GB2312" w:eastAsia="仿宋_GB2312"/>
          <w:sz w:val="32"/>
          <w:szCs w:val="32"/>
          <w:lang w:val="en-US" w:eastAsia="zh-CN"/>
        </w:rPr>
        <w:t xml:space="preserve">6.2.3 </w:t>
      </w:r>
      <w:r>
        <w:rPr>
          <w:rFonts w:hint="default" w:ascii="仿宋_GB2312" w:hAnsi="仿宋_GB2312" w:eastAsia="仿宋_GB2312"/>
          <w:sz w:val="32"/>
          <w:szCs w:val="32"/>
          <w:highlight w:val="none"/>
        </w:rPr>
        <w:t>对于未能在原</w:t>
      </w:r>
      <w:r>
        <w:rPr>
          <w:rFonts w:hint="default" w:ascii="仿宋_GB2312" w:hAnsi="仿宋_GB2312" w:eastAsia="仿宋_GB2312"/>
          <w:sz w:val="32"/>
          <w:szCs w:val="32"/>
          <w:highlight w:val="none"/>
          <w:lang w:val="en-US" w:eastAsia="zh-CN"/>
        </w:rPr>
        <w:t>认证</w:t>
      </w:r>
      <w:r>
        <w:rPr>
          <w:rFonts w:hint="default" w:ascii="仿宋_GB2312" w:hAnsi="仿宋_GB2312" w:eastAsia="仿宋_GB2312"/>
          <w:sz w:val="32"/>
          <w:szCs w:val="32"/>
          <w:highlight w:val="none"/>
        </w:rPr>
        <w:t>证书到期前完成再认证决定的，</w:t>
      </w:r>
      <w:r>
        <w:rPr>
          <w:rFonts w:hint="eastAsia"/>
          <w:sz w:val="32"/>
          <w:szCs w:val="32"/>
          <w:highlight w:val="none"/>
          <w:lang w:val="en-US" w:eastAsia="zh-CN"/>
        </w:rPr>
        <w:t>获证组织</w:t>
      </w:r>
      <w:r>
        <w:rPr>
          <w:rFonts w:hint="default" w:ascii="仿宋_GB2312" w:hAnsi="仿宋_GB2312" w:eastAsia="仿宋_GB2312"/>
          <w:sz w:val="32"/>
          <w:szCs w:val="32"/>
          <w:highlight w:val="none"/>
        </w:rPr>
        <w:t>的QMS认证</w:t>
      </w:r>
      <w:r>
        <w:rPr>
          <w:rFonts w:hint="default" w:ascii="仿宋_GB2312" w:hAnsi="仿宋_GB2312" w:eastAsia="仿宋_GB2312"/>
          <w:sz w:val="32"/>
          <w:szCs w:val="32"/>
          <w:highlight w:val="none"/>
          <w:lang w:val="en-US" w:eastAsia="zh-CN"/>
        </w:rPr>
        <w:t>证书到期后自动失效</w:t>
      </w:r>
      <w:r>
        <w:rPr>
          <w:rFonts w:hint="default" w:ascii="仿宋_GB2312" w:hAnsi="仿宋_GB2312" w:eastAsia="仿宋_GB2312"/>
          <w:sz w:val="32"/>
          <w:szCs w:val="32"/>
          <w:highlight w:val="none"/>
        </w:rPr>
        <w:t>，直至获得新签发的再认证证书</w:t>
      </w:r>
      <w:r>
        <w:rPr>
          <w:rFonts w:hint="default" w:ascii="仿宋_GB2312" w:hAnsi="仿宋_GB2312" w:eastAsia="仿宋_GB2312"/>
          <w:sz w:val="32"/>
          <w:szCs w:val="32"/>
          <w:highlight w:val="none"/>
          <w:lang w:eastAsia="zh-CN"/>
        </w:rPr>
        <w:t>，</w:t>
      </w:r>
      <w:r>
        <w:rPr>
          <w:rFonts w:hint="default" w:ascii="仿宋_GB2312" w:hAnsi="仿宋_GB2312" w:eastAsia="仿宋_GB2312"/>
          <w:sz w:val="32"/>
          <w:szCs w:val="32"/>
          <w:highlight w:val="none"/>
          <w:lang w:val="en-US" w:eastAsia="zh-CN"/>
        </w:rPr>
        <w:t>新签发的再认证证书的终止日期</w:t>
      </w:r>
      <w:r>
        <w:rPr>
          <w:rFonts w:hint="default"/>
        </w:rPr>
        <w:t>不超过上一认证周期终止日期再加3年。</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6.2.</w:t>
      </w:r>
      <w:r>
        <w:rPr>
          <w:rFonts w:hint="default" w:ascii="仿宋_GB2312" w:hAnsi="仿宋_GB2312" w:eastAsia="仿宋_GB2312"/>
          <w:sz w:val="32"/>
          <w:szCs w:val="32"/>
          <w:lang w:val="en-US" w:eastAsia="zh-CN"/>
        </w:rPr>
        <w:t>4</w:t>
      </w:r>
      <w:r>
        <w:rPr>
          <w:rFonts w:hint="eastAsia" w:ascii="仿宋_GB2312" w:hAnsi="仿宋_GB2312" w:eastAsia="仿宋_GB2312"/>
          <w:sz w:val="32"/>
          <w:szCs w:val="32"/>
        </w:rPr>
        <w:t xml:space="preserve"> 对每张QMS认证证书应赋予一个认证证书编号，认证证书编号应遵循一定的规律，具体详见附录C。</w:t>
      </w:r>
    </w:p>
    <w:p>
      <w:pPr>
        <w:adjustRightInd w:val="0"/>
        <w:snapToGrid w:val="0"/>
        <w:ind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认证证书在中华人民共和国境内使用的，</w:t>
      </w:r>
      <w:r>
        <w:rPr>
          <w:rFonts w:hint="default" w:ascii="仿宋_GB2312" w:hAnsi="仿宋_GB2312" w:eastAsia="仿宋_GB2312" w:cs="仿宋_GB2312"/>
          <w:sz w:val="32"/>
          <w:szCs w:val="32"/>
        </w:rPr>
        <w:t>认证</w:t>
      </w:r>
      <w:r>
        <w:rPr>
          <w:rFonts w:hint="eastAsia" w:ascii="仿宋_GB2312" w:hAnsi="仿宋_GB2312" w:eastAsia="仿宋_GB2312" w:cs="仿宋_GB2312"/>
          <w:sz w:val="32"/>
          <w:szCs w:val="32"/>
        </w:rPr>
        <w:t>证书</w:t>
      </w:r>
      <w:r>
        <w:rPr>
          <w:rFonts w:hint="eastAsia"/>
          <w:lang w:val="en-US" w:eastAsia="zh-CN"/>
        </w:rPr>
        <w:t>应</w:t>
      </w:r>
      <w:r>
        <w:rPr>
          <w:rFonts w:hint="eastAsia" w:ascii="仿宋_GB2312" w:hAnsi="仿宋_GB2312" w:eastAsia="仿宋_GB2312" w:cs="仿宋_GB2312"/>
          <w:sz w:val="32"/>
          <w:szCs w:val="32"/>
        </w:rPr>
        <w:t>使用中文。</w:t>
      </w:r>
    </w:p>
    <w:p>
      <w:pPr>
        <w:adjustRightInd w:val="0"/>
        <w:snapToGrid w:val="0"/>
        <w:ind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w:t>
      </w:r>
      <w:r>
        <w:rPr>
          <w:rFonts w:hint="default"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 认证证书的信息应真实、准确，不产生误导，并至少包含以下内容：</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（1）获证组织名称、统一社会信用代码、注册地址、认证范围所覆盖的经营地址。若认证的QMS覆盖多场所，应表述认证所覆盖的所有场所的地址信息；</w:t>
      </w:r>
    </w:p>
    <w:p>
      <w:pPr>
        <w:autoSpaceDE/>
        <w:autoSpaceDN/>
        <w:adjustRightInd w:val="0"/>
        <w:snapToGrid w:val="0"/>
        <w:spacing w:line="440" w:lineRule="atLeast"/>
        <w:ind w:firstLine="560" w:firstLineChars="200"/>
        <w:rPr>
          <w:rFonts w:hint="eastAsia" w:ascii="仿宋_GB2312" w:hAnsi="仿宋_GB2312" w:eastAsia="仿宋_GB2312"/>
          <w:sz w:val="28"/>
          <w:szCs w:val="28"/>
        </w:rPr>
      </w:pPr>
      <w:bookmarkStart w:id="136" w:name="OLE_LINK2"/>
      <w:r>
        <w:rPr>
          <w:rFonts w:hint="eastAsia" w:ascii="仿宋_GB2312" w:hAnsi="仿宋_GB2312" w:eastAsia="仿宋_GB2312"/>
          <w:sz w:val="28"/>
          <w:szCs w:val="28"/>
        </w:rPr>
        <w:t>注：认证证书中可不包括临时场所，当在认证证书上展示临时场所时，应注明这些场所为临时场所。</w:t>
      </w:r>
      <w:bookmarkEnd w:id="136"/>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（2）获证组织QMS所覆盖的产品、活动、服务的范围；包括每个场所相应的认证范围，且没有误导或歧义（适用时）；</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（3）认证依据的认证标准GB/T 19001/ ISO 9001所采用的当时有效版本的完整标准号；</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（4）</w:t>
      </w:r>
      <w:r>
        <w:rPr>
          <w:rFonts w:hint="default" w:ascii="仿宋_GB2312" w:hAnsi="仿宋_GB2312" w:eastAsia="仿宋_GB2312"/>
          <w:sz w:val="32"/>
          <w:szCs w:val="32"/>
        </w:rPr>
        <w:t>认证</w:t>
      </w:r>
      <w:r>
        <w:rPr>
          <w:rFonts w:hint="eastAsia" w:ascii="仿宋_GB2312" w:hAnsi="仿宋_GB2312" w:eastAsia="仿宋_GB2312"/>
          <w:sz w:val="32"/>
          <w:szCs w:val="32"/>
        </w:rPr>
        <w:t>证书签发日期和有效截止日期，</w:t>
      </w:r>
      <w:r>
        <w:rPr>
          <w:rFonts w:hint="default" w:ascii="仿宋_GB2312" w:hAnsi="仿宋_GB2312" w:eastAsia="仿宋_GB2312"/>
          <w:sz w:val="32"/>
          <w:szCs w:val="32"/>
        </w:rPr>
        <w:t>认证</w:t>
      </w:r>
      <w:r>
        <w:rPr>
          <w:rFonts w:hint="eastAsia" w:ascii="仿宋_GB2312" w:hAnsi="仿宋_GB2312" w:eastAsia="仿宋_GB2312"/>
          <w:sz w:val="32"/>
          <w:szCs w:val="32"/>
        </w:rPr>
        <w:t>证书应注明：获证组织必须定期接受监督审核并经审核合格此证书方继续有效的提示信息</w:t>
      </w:r>
      <w:r>
        <w:rPr>
          <w:rFonts w:hint="default" w:ascii="仿宋_GB2312" w:hAnsi="仿宋_GB2312" w:eastAsia="仿宋_GB2312"/>
          <w:sz w:val="32"/>
          <w:szCs w:val="32"/>
        </w:rPr>
        <w:t>；</w:t>
      </w:r>
    </w:p>
    <w:p>
      <w:pPr>
        <w:adjustRightInd w:val="0"/>
        <w:snapToGrid w:val="0"/>
        <w:ind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default" w:ascii="仿宋_GB2312" w:hAnsi="仿宋_GB2312" w:eastAsia="仿宋_GB2312" w:cs="仿宋_GB2312"/>
          <w:sz w:val="32"/>
          <w:szCs w:val="32"/>
        </w:rPr>
        <w:t>认证</w:t>
      </w:r>
      <w:r>
        <w:rPr>
          <w:rFonts w:hint="eastAsia" w:ascii="仿宋_GB2312" w:hAnsi="仿宋_GB2312" w:eastAsia="仿宋_GB2312" w:cs="仿宋_GB2312"/>
          <w:sz w:val="32"/>
          <w:szCs w:val="32"/>
        </w:rPr>
        <w:t>证书编号（或唯一的识别代码）；</w:t>
      </w:r>
    </w:p>
    <w:p>
      <w:pPr>
        <w:adjustRightInd w:val="0"/>
        <w:snapToGrid w:val="0"/>
        <w:ind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（6）认证机构名称、地址；</w:t>
      </w:r>
    </w:p>
    <w:p>
      <w:pPr>
        <w:adjustRightInd w:val="0"/>
        <w:snapToGrid w:val="0"/>
        <w:ind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（7）认证标志、相关的认可标识及认可注册号（适用时）；</w:t>
      </w:r>
    </w:p>
    <w:p>
      <w:pPr>
        <w:adjustRightInd w:val="0"/>
        <w:snapToGrid w:val="0"/>
        <w:ind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default" w:ascii="仿宋_GB2312" w:hAnsi="仿宋_GB2312" w:eastAsia="仿宋_GB2312" w:cs="仿宋_GB2312"/>
          <w:sz w:val="32"/>
          <w:szCs w:val="32"/>
        </w:rPr>
        <w:t>认证</w:t>
      </w:r>
      <w:r>
        <w:rPr>
          <w:rFonts w:hint="eastAsia" w:ascii="仿宋_GB2312" w:hAnsi="仿宋_GB2312" w:eastAsia="仿宋_GB2312" w:cs="仿宋_GB2312"/>
          <w:sz w:val="32"/>
          <w:szCs w:val="32"/>
        </w:rPr>
        <w:t>证书信息及</w:t>
      </w:r>
      <w:r>
        <w:rPr>
          <w:rFonts w:hint="default" w:ascii="仿宋_GB2312" w:hAnsi="仿宋_GB2312" w:eastAsia="仿宋_GB2312" w:cs="仿宋_GB2312"/>
          <w:sz w:val="32"/>
          <w:szCs w:val="32"/>
        </w:rPr>
        <w:t>认证</w:t>
      </w:r>
      <w:r>
        <w:rPr>
          <w:rFonts w:hint="eastAsia" w:ascii="仿宋_GB2312" w:hAnsi="仿宋_GB2312" w:eastAsia="仿宋_GB2312" w:cs="仿宋_GB2312"/>
          <w:sz w:val="32"/>
          <w:szCs w:val="32"/>
        </w:rPr>
        <w:t>证书状态的查询途径。</w:t>
      </w:r>
    </w:p>
    <w:p>
      <w:pPr>
        <w:pStyle w:val="3"/>
        <w:autoSpaceDE w:val="0"/>
        <w:autoSpaceDN w:val="0"/>
        <w:adjustRightInd w:val="0"/>
        <w:snapToGrid w:val="0"/>
        <w:ind w:firstLineChars="200"/>
      </w:pPr>
      <w:bookmarkStart w:id="137" w:name="_Toc28359"/>
      <w:r>
        <w:t>6.3 认证标志</w:t>
      </w:r>
      <w:bookmarkEnd w:id="137"/>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认证机构自行制定的认证标志的式样、文字和名称，不得违反法律、行政法规的规定，不得与国家</w:t>
      </w:r>
      <w:r>
        <w:rPr>
          <w:rFonts w:hint="eastAsia"/>
          <w:lang w:val="en-US" w:eastAsia="zh-CN"/>
        </w:rPr>
        <w:t>统一</w:t>
      </w:r>
      <w:r>
        <w:rPr>
          <w:rFonts w:hint="eastAsia" w:ascii="仿宋_GB2312" w:hAnsi="仿宋_GB2312" w:eastAsia="仿宋_GB2312"/>
          <w:sz w:val="32"/>
          <w:szCs w:val="32"/>
        </w:rPr>
        <w:t>的</w:t>
      </w:r>
      <w:r>
        <w:rPr>
          <w:rFonts w:hint="eastAsia"/>
          <w:lang w:val="en-US" w:eastAsia="zh-CN"/>
        </w:rPr>
        <w:t>自愿性</w:t>
      </w:r>
      <w:r>
        <w:rPr>
          <w:rFonts w:hint="eastAsia" w:ascii="仿宋_GB2312" w:hAnsi="仿宋_GB2312" w:eastAsia="仿宋_GB2312"/>
          <w:sz w:val="32"/>
          <w:szCs w:val="32"/>
        </w:rPr>
        <w:t>认证标志</w:t>
      </w:r>
      <w:r>
        <w:rPr>
          <w:rFonts w:hint="eastAsia"/>
          <w:lang w:val="en-US" w:eastAsia="zh-CN"/>
        </w:rPr>
        <w:t>或其他认证机构自行制定并公布的认证标志</w:t>
      </w:r>
      <w:r>
        <w:rPr>
          <w:rFonts w:hint="eastAsia" w:ascii="仿宋_GB2312" w:hAnsi="仿宋_GB2312" w:eastAsia="仿宋_GB2312"/>
          <w:sz w:val="32"/>
          <w:szCs w:val="32"/>
        </w:rPr>
        <w:t>相同或者近似，不得妨碍社会管理，不得有损社会道德风尚。</w:t>
      </w:r>
      <w:bookmarkStart w:id="138" w:name="_Toc171603635"/>
    </w:p>
    <w:p>
      <w:pPr>
        <w:pStyle w:val="47"/>
        <w:autoSpaceDE w:val="0"/>
        <w:autoSpaceDN w:val="0"/>
        <w:adjustRightInd w:val="0"/>
        <w:snapToGrid w:val="0"/>
        <w:ind w:firstLine="624" w:firstLineChars="0"/>
        <w:outlineLvl w:val="2"/>
        <w:rPr>
          <w:rFonts w:hint="eastAsia" w:ascii="Times New Roman" w:hAnsi="Times New Roman" w:eastAsia="黑体"/>
          <w:sz w:val="32"/>
          <w:szCs w:val="32"/>
        </w:rPr>
      </w:pPr>
      <w:r>
        <w:rPr>
          <w:rFonts w:hint="eastAsia"/>
          <w:lang w:val="en-US" w:eastAsia="zh-CN"/>
        </w:rPr>
        <w:t xml:space="preserve"> </w:t>
      </w:r>
      <w:bookmarkStart w:id="139" w:name="_Toc22064"/>
      <w:r>
        <w:rPr>
          <w:rFonts w:hint="eastAsia" w:ascii="Times New Roman" w:hAnsi="Times New Roman" w:eastAsia="黑体"/>
          <w:sz w:val="32"/>
          <w:szCs w:val="32"/>
        </w:rPr>
        <w:t>认证</w:t>
      </w:r>
      <w:r>
        <w:rPr>
          <w:rFonts w:hint="default" w:ascii="Times New Roman" w:hAnsi="Times New Roman" w:eastAsia="黑体"/>
          <w:sz w:val="32"/>
          <w:szCs w:val="32"/>
          <w:lang w:eastAsia="zh-CN"/>
        </w:rPr>
        <w:t>证书</w:t>
      </w:r>
      <w:r>
        <w:rPr>
          <w:rFonts w:hint="eastAsia" w:ascii="Times New Roman" w:hAnsi="Times New Roman" w:eastAsia="黑体"/>
          <w:sz w:val="32"/>
          <w:szCs w:val="32"/>
        </w:rPr>
        <w:t>的暂停、撤销和注销</w:t>
      </w:r>
      <w:bookmarkEnd w:id="138"/>
      <w:bookmarkEnd w:id="139"/>
    </w:p>
    <w:p>
      <w:pPr>
        <w:pStyle w:val="3"/>
        <w:autoSpaceDE w:val="0"/>
        <w:autoSpaceDN w:val="0"/>
        <w:adjustRightInd w:val="0"/>
        <w:snapToGrid w:val="0"/>
        <w:ind w:firstLineChars="200"/>
      </w:pPr>
      <w:bookmarkStart w:id="140" w:name="_Toc22234"/>
      <w:r>
        <w:t>7.1 总则</w:t>
      </w:r>
      <w:bookmarkEnd w:id="140"/>
    </w:p>
    <w:p>
      <w:pPr>
        <w:autoSpaceDE/>
        <w:autoSpaceDN/>
        <w:adjustRightInd/>
        <w:snapToGrid/>
        <w:spacing w:line="240" w:lineRule="auto"/>
        <w:ind w:firstLine="640" w:firstLineChars="200"/>
        <w:outlineLvl w:val="9"/>
        <w:rPr>
          <w:rFonts w:hint="default" w:ascii="仿宋_GB2312" w:hAnsi="仿宋_GB2312" w:eastAsia="仿宋_GB2312"/>
          <w:sz w:val="32"/>
          <w:szCs w:val="32"/>
          <w:lang w:val="en-US" w:eastAsia="zh-CN"/>
        </w:rPr>
      </w:pPr>
      <w:r>
        <w:rPr>
          <w:rFonts w:hint="eastAsia" w:ascii="仿宋_GB2312" w:hAnsi="仿宋_GB2312" w:eastAsia="仿宋_GB2312"/>
          <w:sz w:val="32"/>
          <w:szCs w:val="32"/>
        </w:rPr>
        <w:t>认证机构应</w:t>
      </w:r>
      <w:r>
        <w:rPr>
          <w:rFonts w:hint="default" w:ascii="仿宋_GB2312" w:hAnsi="仿宋_GB2312" w:eastAsia="仿宋_GB2312"/>
          <w:sz w:val="32"/>
          <w:szCs w:val="32"/>
        </w:rPr>
        <w:t>建立并实施</w:t>
      </w:r>
      <w:r>
        <w:rPr>
          <w:rFonts w:hint="eastAsia" w:ascii="仿宋_GB2312" w:hAnsi="仿宋_GB2312" w:eastAsia="仿宋_GB2312"/>
          <w:sz w:val="32"/>
          <w:szCs w:val="32"/>
        </w:rPr>
        <w:t>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暂停、撤销和注销的文件化的管理制度，不得随意暂停、撤销和注销认证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w:t>
      </w:r>
    </w:p>
    <w:p>
      <w:pPr>
        <w:pStyle w:val="3"/>
        <w:autoSpaceDE w:val="0"/>
        <w:autoSpaceDN w:val="0"/>
        <w:adjustRightInd w:val="0"/>
        <w:snapToGrid w:val="0"/>
        <w:ind w:firstLineChars="200"/>
        <w:outlineLvl w:val="1"/>
      </w:pPr>
      <w:bookmarkStart w:id="141" w:name="_Toc170821662"/>
      <w:bookmarkStart w:id="142" w:name="_Toc21147"/>
      <w:bookmarkStart w:id="143" w:name="_Toc26489"/>
      <w:bookmarkStart w:id="144" w:name="_Toc159158951"/>
      <w:bookmarkStart w:id="145" w:name="_Toc8895"/>
      <w:bookmarkStart w:id="146" w:name="_Toc21136"/>
      <w:bookmarkStart w:id="147" w:name="_Toc170821776"/>
      <w:bookmarkStart w:id="148" w:name="_Toc171603636"/>
      <w:bookmarkStart w:id="149" w:name="_Toc30541"/>
      <w:r>
        <w:t>7.2 认证</w:t>
      </w:r>
      <w:r>
        <w:rPr>
          <w:rFonts w:hint="eastAsia"/>
          <w:lang w:eastAsia="zh-CN"/>
        </w:rPr>
        <w:t>证书</w:t>
      </w:r>
      <w:r>
        <w:t>的暂停</w:t>
      </w:r>
      <w:bookmarkEnd w:id="141"/>
      <w:bookmarkEnd w:id="142"/>
      <w:bookmarkEnd w:id="143"/>
      <w:bookmarkEnd w:id="144"/>
      <w:bookmarkEnd w:id="145"/>
      <w:bookmarkEnd w:id="146"/>
      <w:bookmarkEnd w:id="147"/>
      <w:bookmarkEnd w:id="148"/>
      <w:bookmarkEnd w:id="149"/>
    </w:p>
    <w:p>
      <w:pPr>
        <w:autoSpaceDE w:val="0"/>
        <w:autoSpaceDN w:val="0"/>
        <w:adjustRightInd w:val="0"/>
        <w:snapToGrid w:val="0"/>
        <w:ind w:right="-86" w:rightChars="-27" w:firstLine="640" w:firstLineChars="200"/>
        <w:outlineLvl w:val="2"/>
        <w:rPr>
          <w:rFonts w:hint="eastAsia" w:ascii="仿宋_GB2312" w:hAnsi="仿宋_GB2312" w:eastAsia="仿宋_GB2312"/>
          <w:kern w:val="2"/>
          <w:sz w:val="32"/>
          <w:szCs w:val="32"/>
        </w:rPr>
      </w:pPr>
      <w:r>
        <w:rPr>
          <w:rFonts w:hint="eastAsia" w:ascii="仿宋_GB2312" w:hAnsi="仿宋_GB2312" w:eastAsia="仿宋_GB2312"/>
          <w:sz w:val="32"/>
          <w:szCs w:val="32"/>
        </w:rPr>
        <w:t>7.2.1 获证组织有以下情形之一的，认证机构应在调查核实后5日内暂停其认证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，并保留相应证据：</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1</w:t>
      </w:r>
      <w:r>
        <w:rPr>
          <w:rFonts w:hint="eastAsia"/>
          <w:sz w:val="32"/>
          <w:szCs w:val="32"/>
          <w:lang w:eastAsia="zh-CN"/>
        </w:rPr>
        <w:t>）</w:t>
      </w:r>
      <w:r>
        <w:rPr>
          <w:rFonts w:hint="eastAsia" w:ascii="仿宋_GB2312" w:hAnsi="仿宋_GB2312" w:eastAsia="仿宋_GB2312"/>
          <w:sz w:val="32"/>
          <w:szCs w:val="32"/>
        </w:rPr>
        <w:t>QMS持续或严重不满足认证要求的</w:t>
      </w:r>
      <w:r>
        <w:rPr>
          <w:rFonts w:hint="default" w:ascii="仿宋_GB2312" w:hAnsi="仿宋_GB2312" w:eastAsia="仿宋_GB2312"/>
          <w:sz w:val="32"/>
          <w:szCs w:val="32"/>
        </w:rPr>
        <w:t>，包括QMS文件与实际业务运作严重脱离</w:t>
      </w:r>
      <w:r>
        <w:rPr>
          <w:rFonts w:hint="eastAsia" w:ascii="仿宋_GB2312" w:hAnsi="仿宋_GB2312" w:eastAsia="仿宋_GB2312"/>
          <w:sz w:val="32"/>
          <w:szCs w:val="32"/>
        </w:rPr>
        <w:t>；</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2</w:t>
      </w:r>
      <w:r>
        <w:rPr>
          <w:rFonts w:hint="eastAsia"/>
          <w:sz w:val="32"/>
          <w:szCs w:val="32"/>
          <w:lang w:eastAsia="zh-CN"/>
        </w:rPr>
        <w:t>）</w:t>
      </w:r>
      <w:r>
        <w:rPr>
          <w:rFonts w:hint="eastAsia" w:ascii="仿宋_GB2312" w:hAnsi="仿宋_GB2312" w:eastAsia="仿宋_GB2312"/>
          <w:sz w:val="32"/>
          <w:szCs w:val="32"/>
        </w:rPr>
        <w:t>不满足QMS适用的法律法规要求，且未采取有效纠正措施的；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3</w:t>
      </w:r>
      <w:r>
        <w:rPr>
          <w:rFonts w:hint="eastAsia"/>
          <w:sz w:val="32"/>
          <w:szCs w:val="32"/>
          <w:lang w:eastAsia="zh-CN"/>
        </w:rPr>
        <w:t>）</w:t>
      </w:r>
      <w:r>
        <w:rPr>
          <w:rFonts w:hint="eastAsia" w:ascii="仿宋_GB2312" w:hAnsi="仿宋_GB2312" w:eastAsia="仿宋_GB2312"/>
          <w:sz w:val="32"/>
          <w:szCs w:val="32"/>
        </w:rPr>
        <w:t>受到与质量相关的行政处罚</w:t>
      </w:r>
      <w:r>
        <w:rPr>
          <w:rFonts w:hint="default" w:ascii="仿宋_GB2312" w:hAnsi="仿宋_GB2312" w:eastAsia="仿宋_GB2312"/>
          <w:sz w:val="32"/>
          <w:szCs w:val="32"/>
        </w:rPr>
        <w:t>，且尚未完成整改的</w:t>
      </w:r>
      <w:r>
        <w:rPr>
          <w:rFonts w:hint="eastAsia" w:ascii="仿宋_GB2312" w:hAnsi="仿宋_GB2312" w:eastAsia="仿宋_GB2312"/>
          <w:sz w:val="32"/>
          <w:szCs w:val="32"/>
        </w:rPr>
        <w:t>；</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4</w:t>
      </w:r>
      <w:r>
        <w:rPr>
          <w:rFonts w:hint="eastAsia"/>
          <w:sz w:val="32"/>
          <w:szCs w:val="32"/>
          <w:lang w:eastAsia="zh-CN"/>
        </w:rPr>
        <w:t>）</w:t>
      </w:r>
      <w:r>
        <w:rPr>
          <w:rFonts w:hint="eastAsia" w:ascii="仿宋_GB2312" w:hAnsi="仿宋_GB2312" w:eastAsia="仿宋_GB2312"/>
          <w:sz w:val="32"/>
          <w:szCs w:val="32"/>
        </w:rPr>
        <w:t>发生重大质量事故，反映获证组织QMS运行存在重大缺陷的；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5</w:t>
      </w:r>
      <w:r>
        <w:rPr>
          <w:rFonts w:hint="eastAsia"/>
          <w:sz w:val="32"/>
          <w:szCs w:val="32"/>
          <w:lang w:eastAsia="zh-CN"/>
        </w:rPr>
        <w:t>）</w:t>
      </w:r>
      <w:r>
        <w:rPr>
          <w:rFonts w:hint="eastAsia" w:ascii="仿宋_GB2312" w:hAnsi="仿宋_GB2312" w:eastAsia="仿宋_GB2312"/>
          <w:sz w:val="32"/>
          <w:szCs w:val="32"/>
        </w:rPr>
        <w:t>拒绝配合市场监管部门的认证执法监督检查，或者提供虚假材料或信息的；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6</w:t>
      </w:r>
      <w:r>
        <w:rPr>
          <w:rFonts w:hint="eastAsia"/>
          <w:sz w:val="32"/>
          <w:szCs w:val="32"/>
          <w:lang w:eastAsia="zh-CN"/>
        </w:rPr>
        <w:t>）</w:t>
      </w:r>
      <w:r>
        <w:rPr>
          <w:rFonts w:hint="eastAsia" w:ascii="仿宋_GB2312" w:hAnsi="仿宋_GB2312" w:eastAsia="仿宋_GB2312"/>
          <w:sz w:val="32"/>
          <w:szCs w:val="32"/>
        </w:rPr>
        <w:t>持有的与QMS范围有关的行政许可文件、资质证书、强制性认证证书等过期失效的；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7</w:t>
      </w:r>
      <w:r>
        <w:rPr>
          <w:rFonts w:hint="eastAsia"/>
          <w:sz w:val="32"/>
          <w:szCs w:val="32"/>
          <w:lang w:eastAsia="zh-CN"/>
        </w:rPr>
        <w:t>）</w:t>
      </w:r>
      <w:r>
        <w:rPr>
          <w:rFonts w:hint="eastAsia" w:ascii="仿宋_GB2312" w:hAnsi="仿宋_GB2312" w:eastAsia="仿宋_GB2312"/>
          <w:sz w:val="32"/>
          <w:szCs w:val="32"/>
        </w:rPr>
        <w:t>不能按照规定的时间间隔接受监督审核的；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8</w:t>
      </w:r>
      <w:r>
        <w:rPr>
          <w:rFonts w:hint="eastAsia"/>
          <w:sz w:val="32"/>
          <w:szCs w:val="32"/>
          <w:lang w:eastAsia="zh-CN"/>
        </w:rPr>
        <w:t>）</w:t>
      </w:r>
      <w:r>
        <w:rPr>
          <w:rFonts w:hint="eastAsia" w:ascii="仿宋_GB2312" w:hAnsi="仿宋_GB2312" w:eastAsia="仿宋_GB2312"/>
          <w:sz w:val="32"/>
          <w:szCs w:val="32"/>
        </w:rPr>
        <w:t>未按相关规定正确引用和宣传获得的认证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和有关信息，包括认证证书和认证标志的使用；</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9</w:t>
      </w:r>
      <w:r>
        <w:rPr>
          <w:rFonts w:hint="eastAsia"/>
          <w:sz w:val="32"/>
          <w:szCs w:val="32"/>
          <w:lang w:eastAsia="zh-CN"/>
        </w:rPr>
        <w:t>）</w:t>
      </w:r>
      <w:r>
        <w:rPr>
          <w:rFonts w:hint="eastAsia" w:ascii="仿宋_GB2312" w:hAnsi="仿宋_GB2312" w:eastAsia="仿宋_GB2312"/>
          <w:sz w:val="32"/>
          <w:szCs w:val="32"/>
        </w:rPr>
        <w:t>不承担、履行认证合同约定的责任和义务的；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10</w:t>
      </w:r>
      <w:r>
        <w:rPr>
          <w:rFonts w:hint="eastAsia"/>
          <w:sz w:val="32"/>
          <w:szCs w:val="32"/>
          <w:lang w:eastAsia="zh-CN"/>
        </w:rPr>
        <w:t>）</w:t>
      </w:r>
      <w:r>
        <w:rPr>
          <w:rFonts w:hint="eastAsia" w:ascii="仿宋_GB2312" w:hAnsi="仿宋_GB2312" w:eastAsia="仿宋_GB2312"/>
          <w:sz w:val="32"/>
          <w:szCs w:val="32"/>
        </w:rPr>
        <w:t>被有关行政监管部门责令停业整顿的；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11</w:t>
      </w:r>
      <w:r>
        <w:rPr>
          <w:rFonts w:hint="eastAsia"/>
          <w:sz w:val="32"/>
          <w:szCs w:val="32"/>
          <w:lang w:eastAsia="zh-CN"/>
        </w:rPr>
        <w:t>）</w:t>
      </w:r>
      <w:r>
        <w:rPr>
          <w:rFonts w:hint="eastAsia" w:ascii="仿宋_GB2312" w:hAnsi="仿宋_GB2312" w:eastAsia="仿宋_GB2312"/>
          <w:sz w:val="32"/>
          <w:szCs w:val="32"/>
        </w:rPr>
        <w:t>发生与质量相关重大舆情</w:t>
      </w:r>
      <w:r>
        <w:rPr>
          <w:rFonts w:hint="default" w:ascii="仿宋_GB2312" w:hAnsi="仿宋_GB2312" w:eastAsia="仿宋_GB2312"/>
          <w:sz w:val="32"/>
          <w:szCs w:val="32"/>
          <w:lang w:val="en-US" w:eastAsia="zh-CN"/>
        </w:rPr>
        <w:t>的</w:t>
      </w:r>
      <w:r>
        <w:rPr>
          <w:rFonts w:hint="eastAsia" w:ascii="仿宋_GB2312" w:hAnsi="仿宋_GB2312" w:eastAsia="仿宋_GB2312"/>
          <w:sz w:val="32"/>
          <w:szCs w:val="32"/>
        </w:rPr>
        <w:t>；</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12</w:t>
      </w:r>
      <w:r>
        <w:rPr>
          <w:rFonts w:hint="eastAsia"/>
          <w:sz w:val="32"/>
          <w:szCs w:val="32"/>
          <w:lang w:eastAsia="zh-CN"/>
        </w:rPr>
        <w:t>）</w:t>
      </w:r>
      <w:r>
        <w:rPr>
          <w:rFonts w:hint="eastAsia" w:ascii="仿宋_GB2312" w:hAnsi="仿宋_GB2312" w:eastAsia="仿宋_GB2312"/>
          <w:sz w:val="32"/>
          <w:szCs w:val="32"/>
        </w:rPr>
        <w:t>主动请求暂停的；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13</w:t>
      </w:r>
      <w:r>
        <w:rPr>
          <w:rFonts w:hint="eastAsia"/>
          <w:sz w:val="32"/>
          <w:szCs w:val="32"/>
          <w:lang w:eastAsia="zh-CN"/>
        </w:rPr>
        <w:t>）</w:t>
      </w:r>
      <w:r>
        <w:rPr>
          <w:rFonts w:hint="eastAsia" w:ascii="仿宋_GB2312" w:hAnsi="仿宋_GB2312" w:eastAsia="仿宋_GB2312"/>
          <w:sz w:val="32"/>
          <w:szCs w:val="32"/>
        </w:rPr>
        <w:t>其他应暂停认证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的。</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7.2.2 认证机构可根据暂停的原因和性质确定暂停期限，暂停期限最长不得超过6个月。</w:t>
      </w:r>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7.2.3 暂停期间，</w:t>
      </w:r>
      <w:r>
        <w:rPr>
          <w:rFonts w:hint="eastAsia"/>
        </w:rPr>
        <w:t>QMS认证证书暂时无效</w:t>
      </w:r>
      <w:r>
        <w:rPr>
          <w:rFonts w:hint="eastAsia"/>
          <w:lang w:eastAsia="zh-CN"/>
        </w:rPr>
        <w:t>。</w:t>
      </w:r>
      <w:r>
        <w:rPr>
          <w:rFonts w:hint="eastAsia" w:ascii="仿宋_GB2312" w:hAnsi="仿宋_GB2312" w:eastAsia="仿宋_GB2312"/>
          <w:sz w:val="32"/>
          <w:szCs w:val="32"/>
        </w:rPr>
        <w:t>如获证组织采取有效的纠正措施，造成暂停的原因已消除的，认证机构应恢复其认证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，并保留相应证据。</w:t>
      </w:r>
    </w:p>
    <w:p>
      <w:pPr>
        <w:pStyle w:val="3"/>
        <w:autoSpaceDE w:val="0"/>
        <w:autoSpaceDN w:val="0"/>
        <w:adjustRightInd w:val="0"/>
        <w:snapToGrid w:val="0"/>
        <w:ind w:firstLineChars="200"/>
        <w:outlineLvl w:val="1"/>
      </w:pPr>
      <w:bookmarkStart w:id="150" w:name="_Toc170821777"/>
      <w:bookmarkStart w:id="151" w:name="_Toc170821663"/>
      <w:bookmarkStart w:id="152" w:name="_Toc27458"/>
      <w:bookmarkStart w:id="153" w:name="_Toc2564"/>
      <w:bookmarkStart w:id="154" w:name="_Toc25558"/>
      <w:bookmarkStart w:id="155" w:name="_Toc171603637"/>
      <w:bookmarkStart w:id="156" w:name="_Toc159158952"/>
      <w:bookmarkStart w:id="157" w:name="_Toc16076"/>
      <w:bookmarkStart w:id="158" w:name="_Toc2369"/>
      <w:r>
        <w:t>7.3 认证</w:t>
      </w:r>
      <w:r>
        <w:rPr>
          <w:rFonts w:hint="eastAsia"/>
          <w:lang w:eastAsia="zh-CN"/>
        </w:rPr>
        <w:t>证书</w:t>
      </w:r>
      <w:r>
        <w:t>的撤销</w:t>
      </w:r>
      <w:bookmarkEnd w:id="150"/>
      <w:bookmarkEnd w:id="151"/>
      <w:bookmarkEnd w:id="152"/>
      <w:bookmarkEnd w:id="153"/>
      <w:bookmarkEnd w:id="154"/>
      <w:bookmarkEnd w:id="155"/>
      <w:bookmarkEnd w:id="156"/>
      <w:bookmarkEnd w:id="157"/>
      <w:bookmarkEnd w:id="158"/>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获证组织有以下情形之一的，认证机构应在获得相关信息并</w:t>
      </w:r>
      <w:r>
        <w:rPr>
          <w:rFonts w:hint="eastAsia"/>
          <w:sz w:val="32"/>
          <w:szCs w:val="32"/>
          <w:lang w:val="en-US" w:eastAsia="zh-CN"/>
        </w:rPr>
        <w:t>调查核实</w:t>
      </w:r>
      <w:r>
        <w:rPr>
          <w:rFonts w:hint="eastAsia" w:ascii="仿宋_GB2312" w:hAnsi="仿宋_GB2312" w:eastAsia="仿宋_GB2312"/>
          <w:sz w:val="32"/>
          <w:szCs w:val="32"/>
        </w:rPr>
        <w:t>后5日内撤销其认证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，并保留相应证据：</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1</w:t>
      </w:r>
      <w:r>
        <w:rPr>
          <w:rFonts w:hint="eastAsia"/>
          <w:sz w:val="32"/>
          <w:szCs w:val="32"/>
          <w:lang w:eastAsia="zh-CN"/>
        </w:rPr>
        <w:t>）</w:t>
      </w:r>
      <w:r>
        <w:rPr>
          <w:rFonts w:hint="eastAsia" w:ascii="仿宋_GB2312" w:hAnsi="仿宋_GB2312" w:eastAsia="仿宋_GB2312"/>
          <w:sz w:val="32"/>
          <w:szCs w:val="32"/>
        </w:rPr>
        <w:t>被注销或撤销法律地位证明文件的；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2</w:t>
      </w:r>
      <w:r>
        <w:rPr>
          <w:rFonts w:hint="eastAsia"/>
          <w:sz w:val="32"/>
          <w:szCs w:val="32"/>
          <w:lang w:eastAsia="zh-CN"/>
        </w:rPr>
        <w:t>）</w:t>
      </w:r>
      <w:r>
        <w:rPr>
          <w:rFonts w:hint="eastAsia" w:ascii="仿宋_GB2312" w:hAnsi="仿宋_GB2312" w:eastAsia="仿宋_GB2312"/>
          <w:sz w:val="32"/>
          <w:szCs w:val="32"/>
        </w:rPr>
        <w:t>被</w:t>
      </w:r>
      <w:r>
        <w:rPr>
          <w:rFonts w:hint="default" w:ascii="仿宋_GB2312" w:hAnsi="仿宋_GB2312" w:eastAsia="仿宋_GB2312"/>
          <w:sz w:val="32"/>
          <w:szCs w:val="32"/>
        </w:rPr>
        <w:t>“</w:t>
      </w:r>
      <w:r>
        <w:rPr>
          <w:rFonts w:hint="eastAsia" w:ascii="仿宋_GB2312" w:hAnsi="仿宋_GB2312" w:eastAsia="仿宋_GB2312"/>
          <w:sz w:val="32"/>
          <w:szCs w:val="32"/>
        </w:rPr>
        <w:t>国家企业信用信息公示系统</w:t>
      </w:r>
      <w:r>
        <w:rPr>
          <w:rFonts w:hint="default" w:ascii="仿宋_GB2312" w:hAnsi="仿宋_GB2312" w:eastAsia="仿宋_GB2312"/>
          <w:sz w:val="32"/>
          <w:szCs w:val="32"/>
        </w:rPr>
        <w:t>”</w:t>
      </w:r>
      <w:r>
        <w:rPr>
          <w:rFonts w:hint="eastAsia" w:ascii="仿宋_GB2312" w:hAnsi="仿宋_GB2312" w:eastAsia="仿宋_GB2312"/>
          <w:sz w:val="32"/>
          <w:szCs w:val="32"/>
        </w:rPr>
        <w:t>和“信用中国”列入严重违法失信名单的；</w:t>
      </w:r>
      <w:bookmarkStart w:id="159" w:name="_Hlk156548891"/>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3</w:t>
      </w:r>
      <w:r>
        <w:rPr>
          <w:rFonts w:hint="eastAsia"/>
          <w:sz w:val="32"/>
          <w:szCs w:val="32"/>
          <w:lang w:eastAsia="zh-CN"/>
        </w:rPr>
        <w:t>）</w:t>
      </w:r>
      <w:r>
        <w:rPr>
          <w:rFonts w:hint="eastAsia" w:ascii="仿宋_GB2312" w:hAnsi="仿宋_GB2312" w:eastAsia="仿宋_GB2312"/>
          <w:sz w:val="32"/>
          <w:szCs w:val="32"/>
        </w:rPr>
        <w:t>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的暂停期限已满，但导致暂停的问题未得到解决或有效纠正的；</w:t>
      </w:r>
    </w:p>
    <w:bookmarkEnd w:id="159"/>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4</w:t>
      </w:r>
      <w:r>
        <w:rPr>
          <w:rFonts w:hint="eastAsia"/>
          <w:sz w:val="32"/>
          <w:szCs w:val="32"/>
          <w:lang w:eastAsia="zh-CN"/>
        </w:rPr>
        <w:t>）</w:t>
      </w:r>
      <w:r>
        <w:rPr>
          <w:rFonts w:hint="default" w:ascii="仿宋_GB2312" w:hAnsi="仿宋_GB2312" w:eastAsia="仿宋_GB2312"/>
          <w:sz w:val="32"/>
          <w:szCs w:val="32"/>
        </w:rPr>
        <w:t>经行政监管部门确认</w:t>
      </w:r>
      <w:r>
        <w:rPr>
          <w:rFonts w:hint="eastAsia" w:ascii="仿宋_GB2312" w:hAnsi="仿宋_GB2312" w:eastAsia="仿宋_GB2312"/>
          <w:sz w:val="32"/>
          <w:szCs w:val="32"/>
        </w:rPr>
        <w:t>因获证组织违规</w:t>
      </w:r>
      <w:r>
        <w:rPr>
          <w:rFonts w:hint="default" w:ascii="仿宋_GB2312" w:hAnsi="仿宋_GB2312" w:eastAsia="仿宋_GB2312"/>
          <w:sz w:val="32"/>
          <w:szCs w:val="32"/>
        </w:rPr>
        <w:t>而</w:t>
      </w:r>
      <w:r>
        <w:rPr>
          <w:rFonts w:hint="eastAsia" w:ascii="仿宋_GB2312" w:hAnsi="仿宋_GB2312" w:eastAsia="仿宋_GB2312"/>
          <w:sz w:val="32"/>
          <w:szCs w:val="32"/>
        </w:rPr>
        <w:t>造成产品和服务等重大质量安全事故的；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5</w:t>
      </w:r>
      <w:r>
        <w:rPr>
          <w:rFonts w:hint="eastAsia"/>
          <w:sz w:val="32"/>
          <w:szCs w:val="32"/>
          <w:lang w:eastAsia="zh-CN"/>
        </w:rPr>
        <w:t>）</w:t>
      </w:r>
      <w:r>
        <w:rPr>
          <w:rFonts w:hint="eastAsia" w:ascii="仿宋_GB2312" w:hAnsi="仿宋_GB2312" w:eastAsia="仿宋_GB2312"/>
          <w:sz w:val="32"/>
          <w:szCs w:val="32"/>
        </w:rPr>
        <w:t>QMS没有运行或者已不具备运行条件的；</w:t>
      </w:r>
    </w:p>
    <w:p>
      <w:pPr>
        <w:numPr>
          <w:ilvl w:val="0"/>
          <w:numId w:val="0"/>
        </w:numPr>
        <w:adjustRightInd/>
        <w:snapToGrid/>
        <w:spacing w:line="240" w:lineRule="auto"/>
        <w:ind w:left="0" w:firstLine="640" w:firstLineChars="200"/>
        <w:rPr>
          <w:rFonts w:hint="eastAsia" w:ascii="仿宋_GB2312" w:hAnsi="仿宋_GB2312" w:eastAsia="仿宋_GB2312"/>
          <w:sz w:val="32"/>
          <w:szCs w:val="32"/>
        </w:rPr>
      </w:pPr>
      <w:r>
        <w:rPr>
          <w:rFonts w:hint="eastAsia"/>
          <w:sz w:val="32"/>
          <w:szCs w:val="32"/>
          <w:lang w:eastAsia="zh-CN"/>
        </w:rPr>
        <w:t>（</w:t>
      </w:r>
      <w:r>
        <w:rPr>
          <w:rFonts w:hint="eastAsia"/>
          <w:sz w:val="32"/>
          <w:szCs w:val="32"/>
          <w:lang w:val="en-US" w:eastAsia="zh-CN"/>
        </w:rPr>
        <w:t>6</w:t>
      </w:r>
      <w:r>
        <w:rPr>
          <w:rFonts w:hint="eastAsia"/>
          <w:sz w:val="32"/>
          <w:szCs w:val="32"/>
          <w:lang w:eastAsia="zh-CN"/>
        </w:rPr>
        <w:t>）</w:t>
      </w:r>
      <w:r>
        <w:rPr>
          <w:rFonts w:hint="eastAsia" w:ascii="仿宋_GB2312" w:hAnsi="仿宋_GB2312" w:eastAsia="仿宋_GB2312"/>
          <w:sz w:val="32"/>
          <w:szCs w:val="32"/>
        </w:rPr>
        <w:t>其他应撤销认证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的。</w:t>
      </w:r>
    </w:p>
    <w:p>
      <w:pPr>
        <w:pStyle w:val="3"/>
        <w:autoSpaceDE w:val="0"/>
        <w:autoSpaceDN w:val="0"/>
        <w:adjustRightInd w:val="0"/>
        <w:snapToGrid w:val="0"/>
        <w:ind w:firstLineChars="200"/>
        <w:outlineLvl w:val="1"/>
      </w:pPr>
      <w:bookmarkStart w:id="160" w:name="_Toc28133"/>
      <w:bookmarkStart w:id="161" w:name="_Toc4557"/>
      <w:bookmarkStart w:id="162" w:name="_Toc170821664"/>
      <w:bookmarkStart w:id="163" w:name="_Toc7072"/>
      <w:bookmarkStart w:id="164" w:name="_Toc171603638"/>
      <w:bookmarkStart w:id="165" w:name="_Toc170821778"/>
      <w:bookmarkStart w:id="166" w:name="_Toc23614"/>
      <w:bookmarkStart w:id="167" w:name="_Toc159158953"/>
      <w:r>
        <w:t>7.4 认证</w:t>
      </w:r>
      <w:r>
        <w:rPr>
          <w:rFonts w:hint="eastAsia"/>
          <w:lang w:eastAsia="zh-CN"/>
        </w:rPr>
        <w:t>证书</w:t>
      </w:r>
      <w:r>
        <w:t>的注销</w:t>
      </w:r>
      <w:bookmarkEnd w:id="160"/>
      <w:bookmarkEnd w:id="161"/>
      <w:bookmarkEnd w:id="162"/>
      <w:bookmarkEnd w:id="163"/>
      <w:bookmarkEnd w:id="164"/>
      <w:bookmarkEnd w:id="165"/>
      <w:bookmarkEnd w:id="166"/>
      <w:bookmarkEnd w:id="167"/>
    </w:p>
    <w:p>
      <w:pPr>
        <w:autoSpaceDE/>
        <w:autoSpaceDN/>
        <w:adjustRightInd/>
        <w:snapToGrid/>
        <w:spacing w:line="240" w:lineRule="auto"/>
        <w:ind w:firstLine="640" w:firstLineChars="200"/>
        <w:outlineLvl w:val="9"/>
        <w:rPr>
          <w:rFonts w:hint="eastAsia" w:ascii="仿宋_GB2312" w:hAnsi="仿宋_GB2312" w:eastAsia="仿宋_GB2312"/>
          <w:sz w:val="32"/>
          <w:szCs w:val="32"/>
        </w:rPr>
      </w:pPr>
      <w:r>
        <w:rPr>
          <w:rFonts w:hint="eastAsia" w:ascii="仿宋_GB2312" w:hAnsi="仿宋_GB2312" w:eastAsia="仿宋_GB2312"/>
          <w:sz w:val="32"/>
          <w:szCs w:val="32"/>
        </w:rPr>
        <w:t>获证组织主动申请不再保持认证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时，认证机构</w:t>
      </w:r>
      <w:r>
        <w:rPr>
          <w:rFonts w:hint="default" w:ascii="仿宋_GB2312" w:hAnsi="仿宋_GB2312" w:eastAsia="仿宋_GB2312"/>
          <w:sz w:val="32"/>
          <w:szCs w:val="32"/>
          <w:lang w:val="en-US" w:eastAsia="zh-CN"/>
        </w:rPr>
        <w:t>应确认</w:t>
      </w:r>
      <w:r>
        <w:rPr>
          <w:rFonts w:hint="eastAsia"/>
          <w:sz w:val="32"/>
          <w:szCs w:val="32"/>
          <w:lang w:val="en-US" w:eastAsia="zh-CN"/>
        </w:rPr>
        <w:t>在</w:t>
      </w:r>
      <w:r>
        <w:rPr>
          <w:rFonts w:hint="default" w:ascii="仿宋_GB2312" w:hAnsi="仿宋_GB2312" w:eastAsia="仿宋_GB2312"/>
          <w:sz w:val="32"/>
          <w:szCs w:val="32"/>
          <w:lang w:val="en-US" w:eastAsia="zh-CN"/>
        </w:rPr>
        <w:t>不存在暂停或撤销情形后</w:t>
      </w:r>
      <w:r>
        <w:rPr>
          <w:rFonts w:hint="eastAsia"/>
          <w:sz w:val="32"/>
          <w:szCs w:val="32"/>
          <w:lang w:val="en-US" w:eastAsia="zh-CN"/>
        </w:rPr>
        <w:t>，</w:t>
      </w:r>
      <w:r>
        <w:rPr>
          <w:rFonts w:hint="eastAsia" w:ascii="仿宋_GB2312" w:hAnsi="仿宋_GB2312" w:eastAsia="仿宋_GB2312"/>
          <w:sz w:val="32"/>
          <w:szCs w:val="32"/>
        </w:rPr>
        <w:t>注销其认证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，并保留相应证据。</w:t>
      </w:r>
    </w:p>
    <w:p>
      <w:pPr>
        <w:pStyle w:val="47"/>
        <w:autoSpaceDE w:val="0"/>
        <w:autoSpaceDN w:val="0"/>
        <w:adjustRightInd w:val="0"/>
        <w:snapToGrid w:val="0"/>
        <w:ind w:firstLine="624" w:firstLineChars="0"/>
        <w:outlineLvl w:val="0"/>
        <w:rPr>
          <w:rFonts w:hint="eastAsia" w:ascii="Times New Roman" w:hAnsi="Times New Roman" w:eastAsia="黑体"/>
          <w:sz w:val="32"/>
          <w:szCs w:val="32"/>
        </w:rPr>
      </w:pPr>
      <w:bookmarkStart w:id="168" w:name="_Toc171603639"/>
      <w:bookmarkStart w:id="169" w:name="_Toc4258"/>
      <w:bookmarkStart w:id="170" w:name="_Toc28740"/>
      <w:r>
        <w:rPr>
          <w:rFonts w:hint="eastAsia" w:ascii="Times New Roman" w:hAnsi="Times New Roman" w:eastAsia="黑体"/>
          <w:sz w:val="32"/>
          <w:szCs w:val="32"/>
        </w:rPr>
        <w:t>申诉（投诉）处理</w:t>
      </w:r>
      <w:bookmarkEnd w:id="168"/>
      <w:bookmarkEnd w:id="169"/>
      <w:bookmarkEnd w:id="170"/>
    </w:p>
    <w:p>
      <w:pPr>
        <w:autoSpaceDE/>
        <w:autoSpaceDN/>
        <w:adjustRightInd/>
        <w:snapToGrid/>
        <w:spacing w:line="240" w:lineRule="auto"/>
        <w:ind w:firstLine="640" w:firstLineChars="200"/>
        <w:rPr>
          <w:rFonts w:hint="eastAsia"/>
          <w:lang w:val="en-US" w:eastAsia="zh-CN"/>
        </w:rPr>
      </w:pPr>
      <w:r>
        <w:rPr>
          <w:rFonts w:hint="eastAsia"/>
          <w:lang w:val="en-US" w:eastAsia="zh-CN"/>
        </w:rPr>
        <w:t xml:space="preserve">8.1 </w:t>
      </w:r>
      <w:r>
        <w:rPr>
          <w:rFonts w:hint="eastAsia"/>
        </w:rPr>
        <w:t>认证机构应建立并实施文件化的申诉（投诉）处理制度</w:t>
      </w:r>
      <w:r>
        <w:rPr>
          <w:rFonts w:hint="eastAsia"/>
          <w:lang w:eastAsia="zh-CN"/>
        </w:rPr>
        <w:t>。</w:t>
      </w:r>
      <w:r>
        <w:rPr>
          <w:rFonts w:hint="eastAsia"/>
        </w:rPr>
        <w:t>认证委托人对认证决定有异议的，可以向认证机构提出申诉</w:t>
      </w:r>
      <w:r>
        <w:rPr>
          <w:rFonts w:hint="eastAsia"/>
          <w:lang w:eastAsia="zh-CN"/>
        </w:rPr>
        <w:t>。</w:t>
      </w:r>
      <w:bookmarkStart w:id="250" w:name="_GoBack"/>
      <w:bookmarkEnd w:id="250"/>
      <w:r>
        <w:rPr>
          <w:rFonts w:hint="eastAsia"/>
        </w:rPr>
        <w:t>任何组织和个人对认证过程和</w:t>
      </w:r>
      <w:r>
        <w:rPr>
          <w:rFonts w:hint="eastAsia"/>
          <w:highlight w:val="none"/>
          <w:lang w:val="en-US" w:eastAsia="zh-CN"/>
        </w:rPr>
        <w:t>认证</w:t>
      </w:r>
      <w:r>
        <w:rPr>
          <w:rFonts w:hint="eastAsia"/>
        </w:rPr>
        <w:t>决定有异议的，可以向认证机构提出投诉。</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8.2 申诉（投诉）的提交、调查和决定不应造成针对申诉人/投诉人的歧视。认证机构对申诉人（投诉人）、申诉（投诉）事项的信息应予以保密。</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8.3 认证机构应及时、公正、有效地处理申诉（投诉），采取必要的纠正措施。对申诉（投诉）的处理决定，应由与申诉（投诉）事项无关的人员做出，或经其审核和批准，并应在60日内将处理结果书面告知申诉人（投诉人）。</w:t>
      </w:r>
    </w:p>
    <w:p>
      <w:pPr>
        <w:pStyle w:val="47"/>
        <w:autoSpaceDE w:val="0"/>
        <w:autoSpaceDN w:val="0"/>
        <w:adjustRightInd w:val="0"/>
        <w:snapToGrid w:val="0"/>
        <w:ind w:firstLine="624"/>
        <w:outlineLvl w:val="0"/>
      </w:pPr>
      <w:bookmarkStart w:id="171" w:name="_Toc171603640"/>
      <w:bookmarkStart w:id="172" w:name="_Toc11004"/>
      <w:bookmarkStart w:id="173" w:name="_Toc13278"/>
      <w:r>
        <w:t>信息公开与报告</w:t>
      </w:r>
      <w:bookmarkEnd w:id="171"/>
      <w:bookmarkEnd w:id="172"/>
      <w:bookmarkEnd w:id="173"/>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9.1 认证机构应建立</w:t>
      </w:r>
      <w:r>
        <w:rPr>
          <w:rFonts w:hint="default" w:ascii="仿宋_GB2312" w:hAnsi="仿宋_GB2312" w:eastAsia="仿宋_GB2312"/>
          <w:sz w:val="32"/>
          <w:szCs w:val="32"/>
        </w:rPr>
        <w:t>并实施</w:t>
      </w:r>
      <w:r>
        <w:rPr>
          <w:rFonts w:hint="eastAsia" w:ascii="仿宋_GB2312" w:hAnsi="仿宋_GB2312" w:eastAsia="仿宋_GB2312"/>
          <w:sz w:val="32"/>
          <w:szCs w:val="32"/>
        </w:rPr>
        <w:t>文件化的认证信息报告制度。</w:t>
      </w:r>
      <w:bookmarkStart w:id="174" w:name="_Hlk160713996"/>
      <w:r>
        <w:rPr>
          <w:rFonts w:hint="eastAsia" w:ascii="仿宋_GB2312" w:hAnsi="仿宋_GB2312" w:eastAsia="仿宋_GB2312"/>
          <w:sz w:val="32"/>
          <w:szCs w:val="32"/>
        </w:rPr>
        <w:t>按照国家</w:t>
      </w:r>
      <w:bookmarkEnd w:id="174"/>
      <w:r>
        <w:rPr>
          <w:rFonts w:hint="eastAsia" w:ascii="仿宋_GB2312" w:hAnsi="仿宋_GB2312" w:eastAsia="仿宋_GB2312"/>
          <w:sz w:val="32"/>
          <w:szCs w:val="32"/>
        </w:rPr>
        <w:t>认监委关于认证信息上报的要求，按时上报认证相关信息，至少包括：</w:t>
      </w:r>
    </w:p>
    <w:p>
      <w:pPr>
        <w:numPr>
          <w:ilvl w:val="0"/>
          <w:numId w:val="3"/>
        </w:numPr>
        <w:adjustRightInd/>
        <w:snapToGrid/>
        <w:spacing w:line="240" w:lineRule="auto"/>
        <w:ind w:left="0"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上一年度工作报告；</w:t>
      </w:r>
    </w:p>
    <w:p>
      <w:pPr>
        <w:numPr>
          <w:ilvl w:val="0"/>
          <w:numId w:val="3"/>
        </w:numPr>
        <w:adjustRightInd/>
        <w:snapToGrid/>
        <w:spacing w:line="240" w:lineRule="auto"/>
        <w:ind w:left="0"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社会责任报告；</w:t>
      </w:r>
    </w:p>
    <w:p>
      <w:pPr>
        <w:numPr>
          <w:ilvl w:val="0"/>
          <w:numId w:val="3"/>
        </w:numPr>
        <w:adjustRightInd/>
        <w:snapToGrid/>
        <w:spacing w:line="240" w:lineRule="auto"/>
        <w:ind w:left="0"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认证计划及认证结果；</w:t>
      </w:r>
    </w:p>
    <w:p>
      <w:pPr>
        <w:numPr>
          <w:ilvl w:val="0"/>
          <w:numId w:val="3"/>
        </w:numPr>
        <w:adjustRightInd/>
        <w:snapToGrid/>
        <w:spacing w:line="240" w:lineRule="auto"/>
        <w:ind w:left="0"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认证证书的状态；</w:t>
      </w:r>
    </w:p>
    <w:p>
      <w:pPr>
        <w:numPr>
          <w:ilvl w:val="0"/>
          <w:numId w:val="3"/>
        </w:numPr>
        <w:adjustRightInd/>
        <w:snapToGrid/>
        <w:spacing w:line="240" w:lineRule="auto"/>
        <w:ind w:left="0"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其他应报告的信息。</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9.2 认证机构应至少在</w:t>
      </w:r>
      <w:r>
        <w:rPr>
          <w:rFonts w:hint="default" w:ascii="仿宋_GB2312" w:hAnsi="仿宋_GB2312" w:eastAsia="仿宋_GB2312"/>
          <w:sz w:val="32"/>
          <w:szCs w:val="32"/>
        </w:rPr>
        <w:t>现场</w:t>
      </w:r>
      <w:r>
        <w:rPr>
          <w:rFonts w:hint="eastAsia" w:ascii="仿宋_GB2312" w:hAnsi="仿宋_GB2312" w:eastAsia="仿宋_GB2312"/>
          <w:sz w:val="32"/>
          <w:szCs w:val="32"/>
        </w:rPr>
        <w:t>审核实施前3</w:t>
      </w:r>
      <w:r>
        <w:rPr>
          <w:rFonts w:hint="default" w:ascii="仿宋_GB2312" w:hAnsi="仿宋_GB2312" w:eastAsia="仿宋_GB2312"/>
          <w:sz w:val="32"/>
          <w:szCs w:val="32"/>
        </w:rPr>
        <w:t>日</w:t>
      </w:r>
      <w:r>
        <w:rPr>
          <w:rFonts w:hint="eastAsia" w:ascii="仿宋_GB2312" w:hAnsi="仿宋_GB2312" w:eastAsia="仿宋_GB2312"/>
          <w:sz w:val="32"/>
          <w:szCs w:val="32"/>
        </w:rPr>
        <w:t>，将审核计划上报国家认监委。</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9.3 认证机构在颁发认证证书后，应在次月10日前将认证</w:t>
      </w:r>
      <w:r>
        <w:rPr>
          <w:rFonts w:hint="default" w:ascii="仿宋_GB2312" w:hAnsi="仿宋_GB2312" w:eastAsia="仿宋_GB2312"/>
          <w:sz w:val="32"/>
          <w:szCs w:val="32"/>
        </w:rPr>
        <w:t>结果</w:t>
      </w:r>
      <w:r>
        <w:rPr>
          <w:rFonts w:hint="eastAsia" w:ascii="仿宋_GB2312" w:hAnsi="仿宋_GB2312" w:eastAsia="仿宋_GB2312"/>
          <w:sz w:val="32"/>
          <w:szCs w:val="32"/>
        </w:rPr>
        <w:t>相关信息报送国家认监委</w:t>
      </w:r>
      <w:r>
        <w:rPr>
          <w:rFonts w:hint="eastAsia"/>
          <w:lang w:eastAsia="zh-CN"/>
        </w:rPr>
        <w:t>。</w:t>
      </w:r>
    </w:p>
    <w:p>
      <w:pPr>
        <w:widowControl/>
        <w:autoSpaceDE/>
        <w:autoSpaceDN/>
        <w:adjustRightInd/>
        <w:snapToGrid/>
        <w:spacing w:line="240" w:lineRule="auto"/>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认证机构应通过其网站或者其他形式，向公众提供查询认证证书有效性的方式</w:t>
      </w:r>
      <w:r>
        <w:rPr>
          <w:rFonts w:hint="default" w:ascii="仿宋_GB2312" w:hAnsi="仿宋_GB2312" w:eastAsia="仿宋_GB2312"/>
          <w:sz w:val="32"/>
          <w:szCs w:val="32"/>
        </w:rPr>
        <w:t>，不得仅提供“国家认监委”或“全国认证认可信息公共服务平台（认e云）”查询路径。</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9.4 认证机构应通过其网站或者其他方式公开暂停、撤销、注销认证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的信息</w:t>
      </w:r>
      <w:r>
        <w:rPr>
          <w:rFonts w:hint="default" w:ascii="仿宋_GB2312" w:hAnsi="仿宋_GB2312" w:eastAsia="仿宋_GB2312"/>
          <w:sz w:val="32"/>
          <w:szCs w:val="32"/>
        </w:rPr>
        <w:t>。</w:t>
      </w:r>
      <w:r>
        <w:rPr>
          <w:rFonts w:hint="eastAsia" w:ascii="仿宋_GB2312" w:hAnsi="仿宋_GB2312" w:eastAsia="仿宋_GB2312"/>
          <w:sz w:val="32"/>
          <w:szCs w:val="32"/>
        </w:rPr>
        <w:t>暂停</w:t>
      </w:r>
      <w:r>
        <w:rPr>
          <w:rFonts w:hint="default" w:ascii="仿宋_GB2312" w:hAnsi="仿宋_GB2312" w:eastAsia="仿宋_GB2312"/>
          <w:sz w:val="32"/>
          <w:szCs w:val="32"/>
        </w:rPr>
        <w:t>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的，还应明确暂停的起始日期和暂停期限。认证机构应在暂停、撤销、注销认证</w:t>
      </w:r>
      <w:r>
        <w:rPr>
          <w:rFonts w:hint="default" w:ascii="仿宋_GB2312" w:hAnsi="仿宋_GB2312" w:eastAsia="仿宋_GB2312"/>
          <w:sz w:val="32"/>
          <w:szCs w:val="32"/>
          <w:lang w:eastAsia="zh-CN"/>
        </w:rPr>
        <w:t>证书</w:t>
      </w:r>
      <w:r>
        <w:rPr>
          <w:rFonts w:hint="eastAsia" w:ascii="仿宋_GB2312" w:hAnsi="仿宋_GB2312" w:eastAsia="仿宋_GB2312"/>
          <w:sz w:val="32"/>
          <w:szCs w:val="32"/>
        </w:rPr>
        <w:t>之日起2个工作日内，按规定程序和要求</w:t>
      </w:r>
      <w:r>
        <w:rPr>
          <w:rFonts w:hint="eastAsia"/>
          <w:lang w:val="en-US" w:eastAsia="zh-CN"/>
        </w:rPr>
        <w:t>将相关信息</w:t>
      </w:r>
      <w:r>
        <w:rPr>
          <w:rFonts w:hint="eastAsia" w:ascii="仿宋_GB2312" w:hAnsi="仿宋_GB2312" w:eastAsia="仿宋_GB2312"/>
          <w:sz w:val="32"/>
          <w:szCs w:val="32"/>
        </w:rPr>
        <w:t>报</w:t>
      </w:r>
      <w:r>
        <w:rPr>
          <w:rFonts w:hint="eastAsia"/>
          <w:lang w:val="en-US" w:eastAsia="zh-CN"/>
        </w:rPr>
        <w:t>送</w:t>
      </w:r>
      <w:r>
        <w:rPr>
          <w:rFonts w:hint="eastAsia" w:ascii="仿宋_GB2312" w:hAnsi="仿宋_GB2312" w:eastAsia="仿宋_GB2312"/>
          <w:sz w:val="32"/>
          <w:szCs w:val="32"/>
        </w:rPr>
        <w:t>国家认监委。</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9.5 获证组织发生重大质量事故的，认证机构应</w:t>
      </w:r>
      <w:r>
        <w:rPr>
          <w:rFonts w:hint="default" w:ascii="仿宋_GB2312" w:hAnsi="仿宋_GB2312" w:eastAsia="仿宋_GB2312"/>
          <w:sz w:val="32"/>
          <w:szCs w:val="32"/>
        </w:rPr>
        <w:t>对</w:t>
      </w:r>
      <w:r>
        <w:rPr>
          <w:rFonts w:hint="eastAsia"/>
          <w:sz w:val="32"/>
          <w:szCs w:val="32"/>
          <w:lang w:val="en-US" w:eastAsia="zh-CN"/>
        </w:rPr>
        <w:t>该</w:t>
      </w:r>
      <w:r>
        <w:rPr>
          <w:rFonts w:hint="eastAsia"/>
          <w:lang w:val="en-US" w:eastAsia="zh-CN"/>
        </w:rPr>
        <w:t>组织的</w:t>
      </w:r>
      <w:r>
        <w:rPr>
          <w:rFonts w:hint="default" w:ascii="仿宋_GB2312" w:hAnsi="仿宋_GB2312" w:eastAsia="仿宋_GB2312"/>
          <w:sz w:val="32"/>
          <w:szCs w:val="32"/>
        </w:rPr>
        <w:t>认证过程进行自查，并按照</w:t>
      </w:r>
      <w:r>
        <w:rPr>
          <w:rFonts w:hint="default" w:ascii="仿宋_GB2312" w:hAnsi="仿宋_GB2312" w:eastAsia="仿宋_GB2312"/>
          <w:sz w:val="32"/>
          <w:szCs w:val="32"/>
          <w:lang w:val="en-US" w:eastAsia="zh-CN"/>
        </w:rPr>
        <w:t>认证行政</w:t>
      </w:r>
      <w:r>
        <w:rPr>
          <w:rFonts w:hint="default" w:ascii="仿宋_GB2312" w:hAnsi="仿宋_GB2312" w:eastAsia="仿宋_GB2312"/>
          <w:sz w:val="32"/>
          <w:szCs w:val="32"/>
        </w:rPr>
        <w:t>监管部门的要求，在规定的时间内提供相关认证材料。</w:t>
      </w:r>
    </w:p>
    <w:p>
      <w:pPr>
        <w:pStyle w:val="47"/>
        <w:autoSpaceDE w:val="0"/>
        <w:autoSpaceDN w:val="0"/>
        <w:adjustRightInd w:val="0"/>
        <w:snapToGrid w:val="0"/>
        <w:ind w:firstLine="624"/>
        <w:outlineLvl w:val="0"/>
      </w:pPr>
      <w:bookmarkStart w:id="175" w:name="_Toc171603641"/>
      <w:bookmarkStart w:id="176" w:name="_Toc23488"/>
      <w:bookmarkStart w:id="177" w:name="_Toc19244"/>
      <w:r>
        <w:t>认证记录</w:t>
      </w:r>
      <w:bookmarkEnd w:id="175"/>
      <w:bookmarkEnd w:id="176"/>
      <w:bookmarkEnd w:id="177"/>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10.1 认证机构应建立文件化的认证记录、认证资料归档留存制度，记录认证活动全过程并妥善保存。</w:t>
      </w:r>
      <w:r>
        <w:rPr>
          <w:rFonts w:hint="eastAsia"/>
          <w:highlight w:val="none"/>
          <w:lang w:val="en-US" w:eastAsia="zh-CN"/>
        </w:rPr>
        <w:t>归档留存期限为认证证书有效期届满之日起2年以上，或被注销、撤销之日起2年以上</w:t>
      </w:r>
      <w:r>
        <w:rPr>
          <w:rFonts w:hint="default"/>
          <w:highlight w:val="none"/>
          <w:lang w:val="en-US" w:eastAsia="zh-CN"/>
        </w:rPr>
        <w:t>。</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10.2 认证记录应真实、准确、完整，以证实认证活动得到有效实施。认证记录包括但不限于：</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（1）认证申请书；</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（2）认证申请评审记录；</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（3）认证合同；</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（4）审核方案</w:t>
      </w:r>
      <w:r>
        <w:rPr>
          <w:rFonts w:hint="default" w:ascii="仿宋_GB2312" w:hAnsi="仿宋_GB2312" w:eastAsia="仿宋_GB2312"/>
          <w:sz w:val="32"/>
          <w:szCs w:val="32"/>
        </w:rPr>
        <w:t>，包括多场所抽样方法（适用时）</w:t>
      </w:r>
      <w:r>
        <w:rPr>
          <w:rFonts w:hint="eastAsia" w:ascii="仿宋_GB2312" w:hAnsi="仿宋_GB2312" w:eastAsia="仿宋_GB2312"/>
          <w:sz w:val="32"/>
          <w:szCs w:val="32"/>
        </w:rPr>
        <w:t>；</w:t>
      </w:r>
    </w:p>
    <w:p>
      <w:pPr>
        <w:autoSpaceDE w:val="0"/>
        <w:autoSpaceDN w:val="0"/>
        <w:adjustRightInd w:val="0"/>
        <w:snapToGrid w:val="0"/>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（5）确定审核时间的理由（计算过程）；</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w:t>
      </w:r>
      <w:r>
        <w:rPr>
          <w:rFonts w:hint="default" w:ascii="仿宋_GB2312" w:hAnsi="仿宋_GB2312" w:eastAsia="仿宋_GB2312"/>
          <w:sz w:val="32"/>
          <w:szCs w:val="32"/>
        </w:rPr>
        <w:t>6</w:t>
      </w:r>
      <w:r>
        <w:rPr>
          <w:rFonts w:hint="eastAsia" w:ascii="仿宋_GB2312" w:hAnsi="仿宋_GB2312" w:eastAsia="仿宋_GB2312"/>
          <w:sz w:val="32"/>
          <w:szCs w:val="32"/>
        </w:rPr>
        <w:t>）审核计划；</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w:t>
      </w:r>
      <w:r>
        <w:rPr>
          <w:rFonts w:hint="default" w:ascii="仿宋_GB2312" w:hAnsi="仿宋_GB2312" w:eastAsia="仿宋_GB2312"/>
          <w:sz w:val="32"/>
          <w:szCs w:val="32"/>
        </w:rPr>
        <w:t>7</w:t>
      </w:r>
      <w:r>
        <w:rPr>
          <w:rFonts w:hint="eastAsia" w:ascii="仿宋_GB2312" w:hAnsi="仿宋_GB2312" w:eastAsia="仿宋_GB2312"/>
          <w:sz w:val="32"/>
          <w:szCs w:val="32"/>
        </w:rPr>
        <w:t>）首、末次会议签到表；</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w:t>
      </w:r>
      <w:r>
        <w:rPr>
          <w:rFonts w:hint="default" w:ascii="仿宋_GB2312" w:hAnsi="仿宋_GB2312" w:eastAsia="仿宋_GB2312"/>
          <w:sz w:val="32"/>
          <w:szCs w:val="32"/>
        </w:rPr>
        <w:t>8</w:t>
      </w:r>
      <w:r>
        <w:rPr>
          <w:rFonts w:hint="eastAsia" w:ascii="仿宋_GB2312" w:hAnsi="仿宋_GB2312" w:eastAsia="仿宋_GB2312"/>
          <w:sz w:val="32"/>
          <w:szCs w:val="32"/>
        </w:rPr>
        <w:t>）现场审核记录；</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w:t>
      </w:r>
      <w:r>
        <w:rPr>
          <w:rFonts w:hint="default" w:ascii="仿宋_GB2312" w:hAnsi="仿宋_GB2312" w:eastAsia="仿宋_GB2312"/>
          <w:sz w:val="32"/>
          <w:szCs w:val="32"/>
        </w:rPr>
        <w:t>9</w:t>
      </w:r>
      <w:r>
        <w:rPr>
          <w:rFonts w:hint="eastAsia" w:ascii="仿宋_GB2312" w:hAnsi="仿宋_GB2312" w:eastAsia="仿宋_GB2312"/>
          <w:sz w:val="32"/>
          <w:szCs w:val="32"/>
        </w:rPr>
        <w:t>）不符合报告及验证记录；</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w:t>
      </w:r>
      <w:r>
        <w:rPr>
          <w:rFonts w:hint="default" w:ascii="仿宋_GB2312" w:hAnsi="仿宋_GB2312" w:eastAsia="仿宋_GB2312"/>
          <w:sz w:val="32"/>
          <w:szCs w:val="32"/>
        </w:rPr>
        <w:t>10</w:t>
      </w:r>
      <w:r>
        <w:rPr>
          <w:rFonts w:hint="eastAsia" w:ascii="仿宋_GB2312" w:hAnsi="仿宋_GB2312" w:eastAsia="仿宋_GB2312"/>
          <w:sz w:val="32"/>
          <w:szCs w:val="32"/>
        </w:rPr>
        <w:t>）审核报告；</w:t>
      </w:r>
    </w:p>
    <w:p>
      <w:pPr>
        <w:autoSpaceDE w:val="0"/>
        <w:autoSpaceDN w:val="0"/>
        <w:adjustRightInd w:val="0"/>
        <w:snapToGrid w:val="0"/>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w:t>
      </w:r>
      <w:r>
        <w:rPr>
          <w:rFonts w:hint="default" w:ascii="仿宋_GB2312" w:hAnsi="仿宋_GB2312" w:eastAsia="仿宋_GB2312"/>
          <w:sz w:val="32"/>
          <w:szCs w:val="32"/>
        </w:rPr>
        <w:t>1</w:t>
      </w:r>
      <w:r>
        <w:rPr>
          <w:rFonts w:hint="eastAsia" w:ascii="仿宋_GB2312" w:hAnsi="仿宋_GB2312" w:eastAsia="仿宋_GB2312"/>
          <w:sz w:val="32"/>
          <w:szCs w:val="32"/>
        </w:rPr>
        <w:t>）认证决定记录。</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10.3 在认证证书有效期内，认证活动参与各方签字或者盖章的认证记录、资料等，应保存具有法律效力的原件</w:t>
      </w:r>
      <w:r>
        <w:rPr>
          <w:rFonts w:hint="eastAsia"/>
          <w:lang w:eastAsia="zh-CN"/>
        </w:rPr>
        <w:t>，</w:t>
      </w:r>
      <w:r>
        <w:rPr>
          <w:rFonts w:hint="eastAsia"/>
          <w:lang w:val="en-US" w:eastAsia="zh-CN"/>
        </w:rPr>
        <w:t>可以</w:t>
      </w:r>
      <w:r>
        <w:rPr>
          <w:rFonts w:hint="default" w:ascii="仿宋_GB2312" w:hAnsi="仿宋_GB2312" w:eastAsia="仿宋_GB2312"/>
          <w:sz w:val="32"/>
          <w:szCs w:val="32"/>
        </w:rPr>
        <w:t>纸质文件或符合《电子签名法》规定的电子文件</w:t>
      </w:r>
      <w:r>
        <w:rPr>
          <w:rFonts w:hint="eastAsia"/>
          <w:lang w:val="en-US" w:eastAsia="zh-CN"/>
        </w:rPr>
        <w:t>形式保存</w:t>
      </w:r>
      <w:r>
        <w:rPr>
          <w:rFonts w:hint="eastAsia" w:ascii="仿宋_GB2312" w:hAnsi="仿宋_GB2312" w:eastAsia="仿宋_GB2312"/>
          <w:sz w:val="32"/>
          <w:szCs w:val="32"/>
        </w:rPr>
        <w:t>。签字或盖章的认证记录至少包括：</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w:t>
      </w:r>
      <w:bookmarkStart w:id="178" w:name="_Hlk156483573"/>
      <w:r>
        <w:rPr>
          <w:rFonts w:hint="eastAsia" w:ascii="仿宋_GB2312" w:hAnsi="仿宋_GB2312" w:eastAsia="仿宋_GB2312"/>
          <w:sz w:val="32"/>
          <w:szCs w:val="32"/>
        </w:rPr>
        <w:t>认证申请书；</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（2）认证合同；</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（3）审核计划；</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（4）首、末次会议签到表；</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（5）不符合报告</w:t>
      </w:r>
      <w:r>
        <w:rPr>
          <w:rFonts w:hint="default" w:ascii="仿宋_GB2312" w:hAnsi="仿宋_GB2312" w:eastAsia="仿宋_GB2312"/>
          <w:sz w:val="32"/>
          <w:szCs w:val="32"/>
        </w:rPr>
        <w:t>；</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（6）认证决定的结论。</w:t>
      </w:r>
    </w:p>
    <w:bookmarkEnd w:id="178"/>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10.4 认证记录应使用中文，以电子文档形式保存认证记录的，应采用不可编辑的方式。</w:t>
      </w:r>
    </w:p>
    <w:p>
      <w:pPr>
        <w:autoSpaceDE/>
        <w:autoSpaceDN/>
        <w:adjustRightInd/>
        <w:snapToGrid/>
        <w:spacing w:line="240" w:lineRule="auto"/>
        <w:ind w:firstLine="640" w:firstLineChars="200"/>
        <w:rPr>
          <w:rFonts w:hint="eastAsia" w:ascii="仿宋_GB2312" w:hAnsi="仿宋_GB2312" w:eastAsia="仿宋_GB2312"/>
          <w:sz w:val="32"/>
          <w:szCs w:val="32"/>
        </w:rPr>
      </w:pPr>
      <w:bookmarkStart w:id="179" w:name="_Toc171603642"/>
      <w:r>
        <w:rPr>
          <w:rFonts w:hint="default" w:ascii="仿宋_GB2312" w:hAnsi="仿宋_GB2312" w:eastAsia="仿宋_GB2312"/>
          <w:sz w:val="32"/>
          <w:szCs w:val="32"/>
        </w:rPr>
        <w:t>10.5 为了证实认证活动的实施，除了认证机构要保持上述认证记录外，获证组织应留存认证</w:t>
      </w:r>
      <w:r>
        <w:rPr>
          <w:rFonts w:hint="default" w:ascii="仿宋_GB2312" w:hAnsi="仿宋_GB2312" w:eastAsia="仿宋_GB2312"/>
          <w:sz w:val="32"/>
          <w:szCs w:val="32"/>
          <w:lang w:eastAsia="zh-CN"/>
        </w:rPr>
        <w:t>证书</w:t>
      </w:r>
      <w:r>
        <w:rPr>
          <w:rFonts w:hint="default" w:ascii="仿宋_GB2312" w:hAnsi="仿宋_GB2312" w:eastAsia="仿宋_GB2312"/>
          <w:sz w:val="32"/>
          <w:szCs w:val="32"/>
        </w:rPr>
        <w:t>有效期内相应的认证记录，至少包括：</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（1）认证合同；</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（2）审核计划；</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（3）首、末次会议签到表；</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（4）不符合报告及原因分析和纠正措施；</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（5）审核报告；</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（6）暂停、撤销通知（适用时）。</w:t>
      </w:r>
    </w:p>
    <w:p>
      <w:pPr>
        <w:pStyle w:val="47"/>
        <w:autoSpaceDE w:val="0"/>
        <w:autoSpaceDN w:val="0"/>
        <w:adjustRightInd w:val="0"/>
        <w:snapToGrid w:val="0"/>
        <w:ind w:firstLine="624" w:firstLineChars="0"/>
        <w:outlineLvl w:val="0"/>
      </w:pPr>
      <w:bookmarkStart w:id="180" w:name="_Toc30741"/>
      <w:bookmarkStart w:id="181" w:name="_Toc7418"/>
      <w:r>
        <w:t>其他</w:t>
      </w:r>
      <w:bookmarkEnd w:id="179"/>
      <w:bookmarkEnd w:id="180"/>
      <w:bookmarkEnd w:id="181"/>
    </w:p>
    <w:p>
      <w:pPr>
        <w:pStyle w:val="3"/>
        <w:autoSpaceDE w:val="0"/>
        <w:autoSpaceDN w:val="0"/>
        <w:adjustRightInd w:val="0"/>
        <w:snapToGrid w:val="0"/>
        <w:ind w:firstLineChars="200"/>
        <w:rPr>
          <w:rFonts w:hint="eastAsia" w:ascii="Times New Roman" w:hAnsi="Times New Roman" w:eastAsia="楷体"/>
          <w:sz w:val="32"/>
          <w:szCs w:val="32"/>
        </w:rPr>
      </w:pPr>
      <w:bookmarkStart w:id="182" w:name="_Toc15322"/>
      <w:r>
        <w:rPr>
          <w:rFonts w:hint="eastAsia" w:ascii="Times New Roman" w:hAnsi="Times New Roman" w:eastAsia="楷体"/>
          <w:sz w:val="32"/>
          <w:szCs w:val="32"/>
        </w:rPr>
        <w:t>11.1</w:t>
      </w:r>
      <w:r>
        <w:rPr>
          <w:rFonts w:hint="default" w:ascii="Times New Roman" w:hAnsi="Times New Roman" w:eastAsia="楷体"/>
          <w:sz w:val="32"/>
          <w:szCs w:val="32"/>
          <w:lang w:val="en-US" w:eastAsia="zh-CN"/>
        </w:rPr>
        <w:t xml:space="preserve"> </w:t>
      </w:r>
      <w:bookmarkEnd w:id="182"/>
      <w:bookmarkStart w:id="183" w:name="_Toc20487"/>
      <w:r>
        <w:rPr>
          <w:rFonts w:hint="eastAsia" w:ascii="Times New Roman" w:hAnsi="Times New Roman" w:eastAsia="楷体"/>
          <w:sz w:val="32"/>
          <w:szCs w:val="32"/>
        </w:rPr>
        <w:t>认证标准换版</w:t>
      </w:r>
      <w:bookmarkEnd w:id="183"/>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认证机构应按照国家</w:t>
      </w:r>
      <w:r>
        <w:rPr>
          <w:rFonts w:hint="default" w:ascii="仿宋_GB2312" w:hAnsi="仿宋_GB2312" w:eastAsia="仿宋_GB2312"/>
          <w:sz w:val="32"/>
          <w:szCs w:val="32"/>
          <w:lang w:val="en-US" w:eastAsia="zh-CN"/>
        </w:rPr>
        <w:t>认监委</w:t>
      </w:r>
      <w:r>
        <w:rPr>
          <w:rFonts w:hint="eastAsia" w:ascii="仿宋_GB2312" w:hAnsi="仿宋_GB2312" w:eastAsia="仿宋_GB2312"/>
          <w:sz w:val="32"/>
          <w:szCs w:val="32"/>
        </w:rPr>
        <w:t>发布的</w:t>
      </w:r>
      <w:r>
        <w:rPr>
          <w:rFonts w:hint="default" w:ascii="仿宋_GB2312" w:hAnsi="仿宋_GB2312" w:eastAsia="仿宋_GB2312"/>
          <w:sz w:val="32"/>
          <w:szCs w:val="32"/>
        </w:rPr>
        <w:t>管理体系认证</w:t>
      </w:r>
      <w:r>
        <w:rPr>
          <w:rFonts w:hint="eastAsia" w:ascii="仿宋_GB2312" w:hAnsi="仿宋_GB2312" w:eastAsia="仿宋_GB2312"/>
          <w:sz w:val="32"/>
          <w:szCs w:val="32"/>
        </w:rPr>
        <w:t>标准换版工作要求，落实标准的换版工作，确保</w:t>
      </w:r>
      <w:r>
        <w:rPr>
          <w:rFonts w:hint="default" w:ascii="仿宋_GB2312" w:hAnsi="仿宋_GB2312" w:eastAsia="仿宋_GB2312"/>
          <w:sz w:val="32"/>
          <w:szCs w:val="32"/>
        </w:rPr>
        <w:t>认证委托人</w:t>
      </w:r>
      <w:r>
        <w:rPr>
          <w:rFonts w:hint="eastAsia" w:ascii="仿宋_GB2312" w:hAnsi="仿宋_GB2312" w:eastAsia="仿宋_GB2312"/>
          <w:sz w:val="32"/>
          <w:szCs w:val="32"/>
        </w:rPr>
        <w:t>能够及时获得新版标准认证。</w:t>
      </w:r>
    </w:p>
    <w:p>
      <w:pPr>
        <w:pStyle w:val="3"/>
        <w:autoSpaceDE w:val="0"/>
        <w:autoSpaceDN w:val="0"/>
        <w:adjustRightInd w:val="0"/>
        <w:snapToGrid w:val="0"/>
        <w:ind w:firstLineChars="200"/>
        <w:rPr>
          <w:rFonts w:hint="eastAsia" w:ascii="Times New Roman" w:hAnsi="Times New Roman" w:eastAsia="楷体"/>
          <w:sz w:val="32"/>
          <w:szCs w:val="32"/>
        </w:rPr>
      </w:pPr>
      <w:bookmarkStart w:id="184" w:name="_Toc14277"/>
      <w:r>
        <w:rPr>
          <w:rFonts w:hint="eastAsia" w:ascii="Times New Roman" w:hAnsi="Times New Roman" w:eastAsia="楷体"/>
          <w:sz w:val="32"/>
          <w:szCs w:val="32"/>
        </w:rPr>
        <w:t>11.</w:t>
      </w:r>
      <w:r>
        <w:rPr>
          <w:rFonts w:hint="eastAsia"/>
          <w:lang w:eastAsia="zh-CN"/>
        </w:rPr>
        <w:t>2</w:t>
      </w:r>
      <w:r>
        <w:rPr>
          <w:rFonts w:hint="eastAsia" w:ascii="Times New Roman" w:hAnsi="Times New Roman" w:eastAsia="楷体"/>
          <w:sz w:val="32"/>
          <w:szCs w:val="32"/>
        </w:rPr>
        <w:t xml:space="preserve"> 内部审核</w:t>
      </w:r>
      <w:bookmarkEnd w:id="184"/>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认证机构应建立</w:t>
      </w:r>
      <w:r>
        <w:rPr>
          <w:rFonts w:hint="default" w:ascii="仿宋_GB2312" w:hAnsi="仿宋_GB2312" w:eastAsia="仿宋_GB2312"/>
          <w:sz w:val="32"/>
          <w:szCs w:val="32"/>
        </w:rPr>
        <w:t>并实施</w:t>
      </w:r>
      <w:r>
        <w:rPr>
          <w:rFonts w:hint="eastAsia" w:ascii="仿宋_GB2312" w:hAnsi="仿宋_GB2312" w:eastAsia="仿宋_GB2312"/>
          <w:sz w:val="32"/>
          <w:szCs w:val="32"/>
        </w:rPr>
        <w:t>文件化的内部审核程序，确保至少每年对QMS认证开展情况实施内部审核。内部审核应包括对本规则执行情况的自查，并保持相应记录和报告。</w:t>
      </w:r>
    </w:p>
    <w:p>
      <w:pPr>
        <w:pStyle w:val="3"/>
        <w:autoSpaceDE w:val="0"/>
        <w:autoSpaceDN w:val="0"/>
        <w:adjustRightInd w:val="0"/>
        <w:snapToGrid w:val="0"/>
        <w:ind w:firstLineChars="200"/>
        <w:rPr>
          <w:rFonts w:hint="eastAsia" w:ascii="Times New Roman" w:hAnsi="Times New Roman" w:eastAsia="楷体"/>
          <w:sz w:val="32"/>
          <w:szCs w:val="32"/>
        </w:rPr>
      </w:pPr>
      <w:bookmarkStart w:id="185" w:name="_Toc28585"/>
      <w:r>
        <w:rPr>
          <w:rFonts w:hint="eastAsia" w:ascii="Times New Roman" w:hAnsi="Times New Roman" w:eastAsia="楷体"/>
          <w:sz w:val="32"/>
          <w:szCs w:val="32"/>
        </w:rPr>
        <w:t>11.</w:t>
      </w:r>
      <w:r>
        <w:rPr>
          <w:rFonts w:hint="eastAsia"/>
          <w:lang w:eastAsia="zh-CN"/>
        </w:rPr>
        <w:t>3</w:t>
      </w:r>
      <w:r>
        <w:rPr>
          <w:rFonts w:hint="eastAsia" w:ascii="Times New Roman" w:hAnsi="Times New Roman" w:eastAsia="楷体"/>
          <w:sz w:val="32"/>
          <w:szCs w:val="32"/>
        </w:rPr>
        <w:t xml:space="preserve"> 同行评议</w:t>
      </w:r>
      <w:bookmarkEnd w:id="185"/>
    </w:p>
    <w:p>
      <w:pPr>
        <w:autoSpaceDE/>
        <w:autoSpaceDN/>
        <w:adjustRightInd/>
        <w:snapToGrid/>
        <w:spacing w:line="240" w:lineRule="auto"/>
        <w:ind w:right="0" w:rightChars="0"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认证机构应积极配合国家</w:t>
      </w:r>
      <w:r>
        <w:rPr>
          <w:rFonts w:hint="default" w:ascii="仿宋_GB2312" w:hAnsi="仿宋_GB2312" w:eastAsia="仿宋_GB2312"/>
          <w:sz w:val="32"/>
          <w:szCs w:val="32"/>
          <w:lang w:val="en-US" w:eastAsia="zh-CN"/>
        </w:rPr>
        <w:t>认监委</w:t>
      </w:r>
      <w:r>
        <w:rPr>
          <w:rFonts w:hint="eastAsia" w:ascii="仿宋_GB2312" w:hAnsi="仿宋_GB2312" w:eastAsia="仿宋_GB2312"/>
          <w:sz w:val="32"/>
          <w:szCs w:val="32"/>
        </w:rPr>
        <w:t>组织安排的对本机构实施的同行评议活动，并在要求的时间内对同行评议中发现的QMS认证活动存在的问题采取有效的纠正措施，以持续符合本规则的要求。</w:t>
      </w:r>
    </w:p>
    <w:p>
      <w:pPr>
        <w:pStyle w:val="3"/>
        <w:autoSpaceDE w:val="0"/>
        <w:autoSpaceDN w:val="0"/>
        <w:adjustRightInd w:val="0"/>
        <w:snapToGrid w:val="0"/>
        <w:ind w:firstLineChars="200"/>
        <w:rPr>
          <w:rFonts w:hint="eastAsia" w:ascii="Times New Roman" w:hAnsi="Times New Roman" w:eastAsia="楷体"/>
          <w:sz w:val="32"/>
          <w:szCs w:val="32"/>
        </w:rPr>
      </w:pPr>
      <w:bookmarkStart w:id="186" w:name="_Toc9941"/>
      <w:r>
        <w:rPr>
          <w:rFonts w:hint="eastAsia" w:ascii="Times New Roman" w:hAnsi="Times New Roman" w:eastAsia="楷体"/>
          <w:sz w:val="32"/>
          <w:szCs w:val="32"/>
        </w:rPr>
        <w:t>11.</w:t>
      </w:r>
      <w:r>
        <w:rPr>
          <w:rFonts w:hint="eastAsia"/>
          <w:lang w:eastAsia="zh-CN"/>
        </w:rPr>
        <w:t>4</w:t>
      </w:r>
      <w:r>
        <w:rPr>
          <w:rFonts w:hint="eastAsia" w:ascii="Times New Roman" w:hAnsi="Times New Roman" w:eastAsia="楷体"/>
          <w:sz w:val="32"/>
          <w:szCs w:val="32"/>
        </w:rPr>
        <w:t xml:space="preserve"> QMS技术服务</w:t>
      </w:r>
      <w:bookmarkEnd w:id="186"/>
    </w:p>
    <w:p>
      <w:pPr>
        <w:autoSpaceDE/>
        <w:autoSpaceDN/>
        <w:adjustRightInd/>
        <w:snapToGrid/>
        <w:spacing w:line="240" w:lineRule="auto"/>
        <w:ind w:right="0" w:rightChars="0" w:firstLine="640" w:firstLineChars="200"/>
        <w:rPr>
          <w:rFonts w:hint="eastAsia" w:ascii="仿宋_GB2312" w:hAnsi="仿宋_GB2312" w:eastAsia="仿宋_GB2312"/>
          <w:sz w:val="32"/>
          <w:szCs w:val="32"/>
          <w:highlight w:val="none"/>
        </w:rPr>
      </w:pPr>
      <w:r>
        <w:rPr>
          <w:rFonts w:hint="default" w:ascii="仿宋_GB2312" w:hAnsi="仿宋_GB2312" w:eastAsia="仿宋_GB2312"/>
          <w:sz w:val="32"/>
          <w:szCs w:val="32"/>
        </w:rPr>
        <w:t>11.</w:t>
      </w:r>
      <w:r>
        <w:rPr>
          <w:rFonts w:hint="eastAsia"/>
          <w:lang w:eastAsia="zh-CN"/>
        </w:rPr>
        <w:t>4</w:t>
      </w:r>
      <w:r>
        <w:rPr>
          <w:rFonts w:hint="default" w:ascii="仿宋_GB2312" w:hAnsi="仿宋_GB2312" w:eastAsia="仿宋_GB2312"/>
          <w:sz w:val="32"/>
          <w:szCs w:val="32"/>
        </w:rPr>
        <w:t xml:space="preserve">.1 </w:t>
      </w:r>
      <w:r>
        <w:rPr>
          <w:rFonts w:hint="eastAsia" w:ascii="仿宋_GB2312" w:hAnsi="仿宋_GB2312" w:eastAsia="仿宋_GB2312"/>
          <w:sz w:val="32"/>
          <w:szCs w:val="32"/>
          <w:highlight w:val="none"/>
        </w:rPr>
        <w:t>认证机构可为组织提供</w:t>
      </w:r>
      <w:r>
        <w:rPr>
          <w:rFonts w:hint="default" w:ascii="仿宋_GB2312" w:hAnsi="仿宋_GB2312" w:eastAsia="仿宋_GB2312"/>
          <w:sz w:val="32"/>
          <w:szCs w:val="32"/>
          <w:highlight w:val="none"/>
        </w:rPr>
        <w:t>GB/T 19001</w:t>
      </w:r>
      <w:r>
        <w:rPr>
          <w:rFonts w:hint="eastAsia"/>
          <w:sz w:val="32"/>
          <w:szCs w:val="32"/>
          <w:highlight w:val="none"/>
          <w:lang w:eastAsia="zh-CN"/>
        </w:rPr>
        <w:t>/</w:t>
      </w:r>
      <w:r>
        <w:rPr>
          <w:rFonts w:hint="default" w:ascii="仿宋_GB2312" w:hAnsi="仿宋_GB2312" w:eastAsia="仿宋_GB2312"/>
          <w:sz w:val="32"/>
          <w:szCs w:val="32"/>
          <w:highlight w:val="none"/>
        </w:rPr>
        <w:t>ISO 9001贯标服务，但不得代替组织编制QMS文件、开展内部审核和管理评审，严禁协助组织编造虚假管理体系文件、体系运行记录等</w:t>
      </w:r>
      <w:r>
        <w:rPr>
          <w:rFonts w:hint="eastAsia" w:ascii="仿宋_GB2312" w:hAnsi="仿宋_GB2312" w:eastAsia="仿宋_GB2312"/>
          <w:sz w:val="32"/>
          <w:szCs w:val="32"/>
          <w:highlight w:val="none"/>
        </w:rPr>
        <w:t>。</w:t>
      </w:r>
    </w:p>
    <w:p>
      <w:pPr>
        <w:autoSpaceDE/>
        <w:autoSpaceDN/>
        <w:adjustRightInd/>
        <w:snapToGrid/>
        <w:spacing w:line="240" w:lineRule="auto"/>
        <w:ind w:right="0" w:rightChars="0" w:firstLine="640" w:firstLineChars="200"/>
        <w:rPr>
          <w:rFonts w:hint="eastAsia" w:ascii="仿宋_GB2312" w:hAnsi="仿宋_GB2312" w:eastAsia="仿宋_GB2312"/>
          <w:sz w:val="32"/>
          <w:szCs w:val="32"/>
        </w:rPr>
      </w:pPr>
      <w:r>
        <w:rPr>
          <w:rFonts w:hint="default" w:ascii="仿宋_GB2312" w:hAnsi="仿宋_GB2312" w:eastAsia="仿宋_GB2312"/>
          <w:sz w:val="32"/>
          <w:szCs w:val="32"/>
        </w:rPr>
        <w:t>11.</w:t>
      </w:r>
      <w:r>
        <w:rPr>
          <w:rFonts w:hint="eastAsia"/>
          <w:lang w:eastAsia="zh-CN"/>
        </w:rPr>
        <w:t>4</w:t>
      </w:r>
      <w:r>
        <w:rPr>
          <w:rFonts w:hint="default" w:ascii="仿宋_GB2312" w:hAnsi="仿宋_GB2312" w:eastAsia="仿宋_GB2312"/>
          <w:sz w:val="32"/>
          <w:szCs w:val="32"/>
        </w:rPr>
        <w:t xml:space="preserve">.2 </w:t>
      </w:r>
      <w:r>
        <w:rPr>
          <w:rFonts w:hint="eastAsia" w:ascii="仿宋_GB2312" w:hAnsi="仿宋_GB2312" w:eastAsia="仿宋_GB2312"/>
          <w:sz w:val="32"/>
          <w:szCs w:val="32"/>
        </w:rPr>
        <w:t>为确保没有利益冲突，参与对某组织QMS技术服务的人员，2年内不应被认证机构安排针对该组织的审核或其他认证活动。</w:t>
      </w:r>
    </w:p>
    <w:p>
      <w:pPr>
        <w:pStyle w:val="3"/>
        <w:autoSpaceDE w:val="0"/>
        <w:autoSpaceDN w:val="0"/>
        <w:adjustRightInd w:val="0"/>
        <w:snapToGrid w:val="0"/>
        <w:ind w:firstLineChars="200"/>
        <w:rPr>
          <w:rFonts w:hint="eastAsia" w:ascii="Times New Roman" w:hAnsi="Times New Roman" w:eastAsia="楷体"/>
          <w:sz w:val="32"/>
          <w:szCs w:val="32"/>
        </w:rPr>
      </w:pPr>
      <w:bookmarkStart w:id="187" w:name="_Toc8250"/>
      <w:r>
        <w:rPr>
          <w:rFonts w:hint="eastAsia" w:ascii="Times New Roman" w:hAnsi="Times New Roman" w:eastAsia="楷体"/>
          <w:sz w:val="32"/>
          <w:szCs w:val="32"/>
        </w:rPr>
        <w:t>11.</w:t>
      </w:r>
      <w:r>
        <w:rPr>
          <w:rFonts w:hint="eastAsia"/>
          <w:lang w:eastAsia="zh-CN"/>
        </w:rPr>
        <w:t>5</w:t>
      </w:r>
      <w:r>
        <w:rPr>
          <w:rFonts w:hint="eastAsia" w:ascii="Times New Roman" w:hAnsi="Times New Roman" w:eastAsia="楷体"/>
          <w:sz w:val="32"/>
          <w:szCs w:val="32"/>
        </w:rPr>
        <w:t xml:space="preserve"> 认证数据安全</w:t>
      </w:r>
      <w:bookmarkEnd w:id="187"/>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认证机构应严格落实《中华人民共和国数据安全法》和《中华人民共和国网络安全法》等法律法规要求，在中华人民共和国境内开展QMS认证活动中收集和产生的重要信息和数据应当在境内存储，确保信息和数据处于有效保护和合法利用的状态。</w:t>
      </w:r>
    </w:p>
    <w:p>
      <w:pPr>
        <w:pStyle w:val="47"/>
        <w:autoSpaceDE w:val="0"/>
        <w:autoSpaceDN w:val="0"/>
        <w:adjustRightInd w:val="0"/>
        <w:snapToGrid w:val="0"/>
        <w:ind w:firstLine="624" w:firstLineChars="0"/>
        <w:outlineLvl w:val="0"/>
      </w:pPr>
      <w:bookmarkStart w:id="188" w:name="_Toc171603643"/>
      <w:bookmarkStart w:id="189" w:name="_Toc25858"/>
      <w:bookmarkStart w:id="190" w:name="_Toc30559"/>
      <w:r>
        <w:t>附则</w:t>
      </w:r>
      <w:bookmarkEnd w:id="188"/>
      <w:bookmarkEnd w:id="189"/>
      <w:bookmarkEnd w:id="190"/>
    </w:p>
    <w:p>
      <w:pPr>
        <w:pStyle w:val="3"/>
        <w:adjustRightInd w:val="0"/>
        <w:snapToGrid w:val="0"/>
        <w:ind w:firstLineChars="200"/>
        <w:rPr>
          <w:rFonts w:hint="eastAsia" w:ascii="Times New Roman" w:hAnsi="Times New Roman" w:eastAsia="楷体"/>
          <w:sz w:val="32"/>
          <w:szCs w:val="32"/>
        </w:rPr>
      </w:pPr>
      <w:bookmarkStart w:id="191" w:name="_Toc6831"/>
      <w:r>
        <w:rPr>
          <w:rFonts w:hint="eastAsia" w:ascii="Times New Roman" w:hAnsi="Times New Roman" w:eastAsia="楷体"/>
          <w:sz w:val="32"/>
          <w:szCs w:val="32"/>
        </w:rPr>
        <w:t xml:space="preserve">12.1 </w:t>
      </w:r>
      <w:r>
        <w:rPr>
          <w:rFonts w:hint="eastAsia" w:eastAsia="楷体"/>
          <w:sz w:val="32"/>
          <w:szCs w:val="32"/>
        </w:rPr>
        <w:t>术语及释义</w:t>
      </w:r>
      <w:bookmarkEnd w:id="191"/>
    </w:p>
    <w:p>
      <w:pPr>
        <w:adjustRightInd/>
        <w:snapToGrid/>
        <w:spacing w:line="240" w:lineRule="auto"/>
        <w:ind w:firstLine="640" w:firstLineChars="200"/>
        <w:rPr>
          <w:rFonts w:hint="eastAsia"/>
          <w:sz w:val="32"/>
          <w:szCs w:val="32"/>
          <w:lang w:val="en-US" w:eastAsia="zh-CN"/>
        </w:rPr>
      </w:pPr>
      <w:r>
        <w:rPr>
          <w:rFonts w:hint="eastAsia" w:ascii="仿宋_GB2312" w:hAnsi="仿宋_GB2312" w:eastAsia="仿宋_GB2312"/>
          <w:sz w:val="32"/>
          <w:szCs w:val="32"/>
        </w:rPr>
        <w:t xml:space="preserve">12.1.1 </w:t>
      </w:r>
      <w:r>
        <w:rPr>
          <w:rFonts w:hint="eastAsia"/>
          <w:sz w:val="32"/>
          <w:szCs w:val="32"/>
          <w:lang w:val="en-US" w:eastAsia="zh-CN"/>
        </w:rPr>
        <w:t>认证人员：指从事认证活动的人员，及认证机构的业务管理人员。</w:t>
      </w:r>
    </w:p>
    <w:p>
      <w:pPr>
        <w:adjustRightInd/>
        <w:snapToGrid/>
        <w:spacing w:line="240" w:lineRule="auto"/>
        <w:ind w:firstLine="640" w:firstLineChars="200"/>
        <w:rPr>
          <w:rFonts w:hint="eastAsia" w:ascii="仿宋_GB2312" w:hAnsi="仿宋_GB2312" w:eastAsia="仿宋_GB2312"/>
          <w:sz w:val="32"/>
          <w:szCs w:val="32"/>
        </w:rPr>
      </w:pPr>
      <w:r>
        <w:rPr>
          <w:rFonts w:hint="eastAsia"/>
          <w:sz w:val="32"/>
          <w:szCs w:val="32"/>
          <w:lang w:val="en-US" w:eastAsia="zh-CN"/>
        </w:rPr>
        <w:t xml:space="preserve">12.1.2 </w:t>
      </w:r>
      <w:r>
        <w:rPr>
          <w:rFonts w:hint="eastAsia" w:ascii="仿宋_GB2312" w:hAnsi="仿宋_GB2312" w:eastAsia="仿宋_GB2312"/>
          <w:sz w:val="32"/>
          <w:szCs w:val="32"/>
        </w:rPr>
        <w:t>认证委托人：申请认证并接受认证审核的组织。</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12.1.</w:t>
      </w:r>
      <w:r>
        <w:rPr>
          <w:rFonts w:hint="eastAsia"/>
          <w:sz w:val="32"/>
          <w:szCs w:val="32"/>
          <w:lang w:val="en-US" w:eastAsia="zh-CN"/>
        </w:rPr>
        <w:t>3</w:t>
      </w:r>
      <w:r>
        <w:rPr>
          <w:rFonts w:hint="eastAsia" w:ascii="仿宋_GB2312" w:hAnsi="仿宋_GB2312" w:eastAsia="仿宋_GB2312"/>
          <w:sz w:val="32"/>
          <w:szCs w:val="32"/>
        </w:rPr>
        <w:t xml:space="preserve"> QMS认证业务范围：以QMS相关过程及预期结果的共性为特征的领域。</w:t>
      </w:r>
    </w:p>
    <w:p>
      <w:pPr>
        <w:adjustRightInd w:val="0"/>
        <w:snapToGrid w:val="0"/>
        <w:spacing w:line="44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注：认证业务范围类别与质量管理体系范围内的产品、过程和服务有关，认证业务范围也被称作“技术领域”</w:t>
      </w:r>
      <w:r>
        <w:rPr>
          <w:rFonts w:hint="eastAsia"/>
          <w:sz w:val="24"/>
          <w:szCs w:val="28"/>
          <w:lang w:eastAsia="zh-CN"/>
        </w:rPr>
        <w:t>“业务类别”</w:t>
      </w:r>
      <w:r>
        <w:rPr>
          <w:rFonts w:hint="eastAsia" w:ascii="仿宋_GB2312" w:hAnsi="仿宋_GB2312" w:eastAsia="仿宋_GB2312"/>
          <w:sz w:val="24"/>
          <w:szCs w:val="28"/>
        </w:rPr>
        <w:t>“行业”等。</w:t>
      </w:r>
    </w:p>
    <w:p>
      <w:pPr>
        <w:adjustRightInd/>
        <w:snapToGrid/>
        <w:spacing w:line="240" w:lineRule="auto"/>
        <w:ind w:firstLine="640" w:firstLineChars="200"/>
        <w:rPr>
          <w:rFonts w:hint="default" w:ascii="仿宋_GB2312" w:hAnsi="仿宋_GB2312" w:eastAsia="仿宋_GB2312"/>
          <w:sz w:val="32"/>
          <w:szCs w:val="32"/>
        </w:rPr>
      </w:pPr>
      <w:r>
        <w:rPr>
          <w:rFonts w:hint="default" w:ascii="仿宋_GB2312" w:hAnsi="仿宋_GB2312" w:eastAsia="仿宋_GB2312"/>
          <w:sz w:val="32"/>
          <w:szCs w:val="32"/>
        </w:rPr>
        <w:t>12.1.</w:t>
      </w:r>
      <w:r>
        <w:rPr>
          <w:rFonts w:hint="eastAsia"/>
          <w:sz w:val="32"/>
          <w:szCs w:val="32"/>
          <w:lang w:val="en-US" w:eastAsia="zh-CN"/>
        </w:rPr>
        <w:t>4</w:t>
      </w:r>
      <w:r>
        <w:rPr>
          <w:rFonts w:hint="default" w:ascii="仿宋_GB2312" w:hAnsi="仿宋_GB2312" w:eastAsia="仿宋_GB2312"/>
          <w:sz w:val="32"/>
          <w:szCs w:val="32"/>
          <w:highlight w:val="none"/>
        </w:rPr>
        <w:t xml:space="preserve"> 认证转换：一个已获认可的认证机构为了颁发自己的认证</w:t>
      </w:r>
      <w:r>
        <w:rPr>
          <w:rFonts w:hint="eastAsia"/>
          <w:lang w:val="en-US" w:eastAsia="zh-CN"/>
        </w:rPr>
        <w:t>证书</w:t>
      </w:r>
      <w:r>
        <w:rPr>
          <w:rFonts w:hint="default" w:ascii="仿宋_GB2312" w:hAnsi="仿宋_GB2312" w:eastAsia="仿宋_GB2312"/>
          <w:sz w:val="32"/>
          <w:szCs w:val="32"/>
          <w:highlight w:val="none"/>
        </w:rPr>
        <w:t>，而承认另一个已获认可的认证机构颁发的现行有效的管理体系认证</w:t>
      </w:r>
      <w:r>
        <w:rPr>
          <w:rFonts w:hint="eastAsia"/>
          <w:lang w:val="en-US" w:eastAsia="zh-CN"/>
        </w:rPr>
        <w:t>证书</w:t>
      </w:r>
      <w:r>
        <w:rPr>
          <w:rFonts w:hint="default" w:ascii="仿宋_GB2312" w:hAnsi="仿宋_GB2312" w:eastAsia="仿宋_GB2312"/>
          <w:sz w:val="32"/>
          <w:szCs w:val="32"/>
          <w:highlight w:val="none"/>
        </w:rPr>
        <w:t>。</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12.1.</w:t>
      </w:r>
      <w:r>
        <w:rPr>
          <w:rFonts w:hint="eastAsia"/>
          <w:sz w:val="32"/>
          <w:szCs w:val="32"/>
          <w:lang w:val="en-US" w:eastAsia="zh-CN"/>
        </w:rPr>
        <w:t>5</w:t>
      </w:r>
      <w:r>
        <w:rPr>
          <w:rFonts w:hint="eastAsia" w:ascii="仿宋_GB2312" w:hAnsi="仿宋_GB2312" w:eastAsia="仿宋_GB2312"/>
          <w:sz w:val="32"/>
          <w:szCs w:val="32"/>
        </w:rPr>
        <w:t xml:space="preserve"> 审核时间：策划并完成一次完整有效的管理体系审核所需要的时间。</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12.1.</w:t>
      </w:r>
      <w:r>
        <w:rPr>
          <w:rFonts w:hint="eastAsia"/>
          <w:sz w:val="32"/>
          <w:szCs w:val="32"/>
          <w:lang w:val="en-US" w:eastAsia="zh-CN"/>
        </w:rPr>
        <w:t>6</w:t>
      </w:r>
      <w:r>
        <w:rPr>
          <w:rFonts w:hint="eastAsia" w:ascii="仿宋_GB2312" w:hAnsi="仿宋_GB2312" w:eastAsia="仿宋_GB2312"/>
          <w:sz w:val="32"/>
          <w:szCs w:val="32"/>
        </w:rPr>
        <w:t xml:space="preserve"> 现场审核时间：审核时间的一部分，包括从首次会议到末次会议之间实施审核活动的所有时间。</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12.1.</w:t>
      </w:r>
      <w:r>
        <w:rPr>
          <w:rFonts w:hint="eastAsia"/>
          <w:sz w:val="32"/>
          <w:szCs w:val="32"/>
          <w:lang w:val="en-US" w:eastAsia="zh-CN"/>
        </w:rPr>
        <w:t>7</w:t>
      </w:r>
      <w:r>
        <w:rPr>
          <w:rFonts w:hint="eastAsia" w:ascii="仿宋_GB2312" w:hAnsi="仿宋_GB2312" w:eastAsia="仿宋_GB2312"/>
          <w:sz w:val="32"/>
          <w:szCs w:val="32"/>
        </w:rPr>
        <w:t xml:space="preserve"> 严重不符合：影响管理体系实现预期结果的能力的不符合。</w:t>
      </w:r>
    </w:p>
    <w:p>
      <w:pPr>
        <w:adjustRightInd w:val="0"/>
        <w:snapToGrid w:val="0"/>
        <w:spacing w:line="440" w:lineRule="exact"/>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rPr>
        <w:t>注：严重不符合可能是下列情况：</w:t>
      </w:r>
    </w:p>
    <w:p>
      <w:pPr>
        <w:adjustRightInd w:val="0"/>
        <w:snapToGrid w:val="0"/>
        <w:spacing w:line="440" w:lineRule="exact"/>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rPr>
        <w:t>—对过程控制是否有效或者产品或服务能否满足规定要求存在严重的怀疑。</w:t>
      </w:r>
    </w:p>
    <w:p>
      <w:pPr>
        <w:adjustRightInd w:val="0"/>
        <w:snapToGrid w:val="0"/>
        <w:spacing w:line="440" w:lineRule="exact"/>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rPr>
        <w:t>—多项轻微不符合都与同一要求或问题有关，可能表明存在系统性失效，从而构成一项严重不符合。</w:t>
      </w:r>
    </w:p>
    <w:p>
      <w:pPr>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12.1.</w:t>
      </w:r>
      <w:r>
        <w:rPr>
          <w:rFonts w:hint="eastAsia"/>
          <w:lang w:val="en-US" w:eastAsia="zh-CN"/>
        </w:rPr>
        <w:t>8</w:t>
      </w:r>
      <w:r>
        <w:rPr>
          <w:rFonts w:hint="eastAsia" w:ascii="仿宋_GB2312" w:hAnsi="仿宋_GB2312" w:eastAsia="仿宋_GB2312"/>
          <w:sz w:val="32"/>
          <w:szCs w:val="32"/>
        </w:rPr>
        <w:t xml:space="preserve"> 轻微不符合：不影响管理体系实现预期结果的能力的不符合。</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 xml:space="preserve">12.2 </w:t>
      </w:r>
      <w:r>
        <w:rPr>
          <w:rFonts w:hint="default" w:ascii="仿宋_GB2312" w:hAnsi="仿宋_GB2312" w:eastAsia="仿宋_GB2312"/>
          <w:sz w:val="32"/>
          <w:szCs w:val="32"/>
          <w:lang w:val="en-US" w:eastAsia="zh-CN"/>
        </w:rPr>
        <w:t>认证行政</w:t>
      </w:r>
      <w:r>
        <w:rPr>
          <w:rFonts w:hint="eastAsia" w:ascii="仿宋_GB2312" w:hAnsi="仿宋_GB2312" w:eastAsia="仿宋_GB2312"/>
          <w:sz w:val="32"/>
          <w:szCs w:val="32"/>
        </w:rPr>
        <w:t>监管部门可以依照本规则的规定对管理体系认证活动实施监督管理，发现违法违规行为，应依法依规处理。</w:t>
      </w:r>
    </w:p>
    <w:p>
      <w:pPr>
        <w:autoSpaceDE/>
        <w:autoSpaceDN/>
        <w:adjustRightInd/>
        <w:snapToGrid/>
        <w:spacing w:line="24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12.3 本规则由国家认监委负责解释。</w:t>
      </w:r>
    </w:p>
    <w:p>
      <w:pPr>
        <w:ind w:left="0" w:leftChars="0" w:firstLine="0" w:firstLineChars="0"/>
        <w:rPr>
          <w:rFonts w:ascii="Times New Roman" w:hAnsi="Times New Roman" w:eastAsia="华文仿宋"/>
          <w:szCs w:val="32"/>
          <w:shd w:val="clear" w:color="auto" w:fill="FFFFFF"/>
        </w:rPr>
      </w:pPr>
      <w:r>
        <w:rPr>
          <w:rFonts w:ascii="Times New Roman" w:hAnsi="Times New Roman" w:eastAsia="华文仿宋"/>
          <w:szCs w:val="32"/>
        </w:rPr>
        <w:br w:type="page"/>
      </w:r>
      <w:bookmarkStart w:id="192" w:name="_Toc171603644"/>
      <w:bookmarkStart w:id="193" w:name="_Toc159158962"/>
      <w:bookmarkStart w:id="194" w:name="_Toc170821787"/>
      <w:bookmarkStart w:id="195" w:name="_Toc22294"/>
      <w:bookmarkStart w:id="196" w:name="_Toc170821673"/>
      <w:r>
        <w:rPr>
          <w:rFonts w:ascii="Times New Roman" w:hAnsi="Times New Roman" w:eastAsia="黑体"/>
          <w:szCs w:val="32"/>
          <w:shd w:val="clear" w:color="auto" w:fill="FFFFFF"/>
        </w:rPr>
        <w:t>附录</w:t>
      </w:r>
      <w:r>
        <w:rPr>
          <w:rFonts w:ascii="Times New Roman" w:hAnsi="Times New Roman" w:eastAsia="华文仿宋"/>
          <w:szCs w:val="32"/>
          <w:shd w:val="clear" w:color="auto" w:fill="FFFFFF"/>
        </w:rPr>
        <w:t>A</w:t>
      </w:r>
      <w:bookmarkEnd w:id="192"/>
      <w:r>
        <w:rPr>
          <w:rFonts w:ascii="Times New Roman" w:hAnsi="Times New Roman" w:eastAsia="华文仿宋"/>
          <w:szCs w:val="32"/>
          <w:shd w:val="clear" w:color="auto" w:fill="FFFFFF"/>
        </w:rPr>
        <w:t xml:space="preserve"> </w:t>
      </w:r>
    </w:p>
    <w:p>
      <w:pPr>
        <w:shd w:val="solid" w:color="FFFFFF" w:fill="auto"/>
        <w:autoSpaceDE w:val="0"/>
        <w:autoSpaceDN w:val="0"/>
        <w:adjustRightInd w:val="0"/>
        <w:snapToGrid w:val="0"/>
        <w:spacing w:line="480" w:lineRule="exact"/>
        <w:jc w:val="center"/>
        <w:outlineLvl w:val="0"/>
        <w:rPr>
          <w:rFonts w:ascii="Times New Roman" w:hAnsi="Times New Roman" w:eastAsia="方正小标宋简体"/>
          <w:sz w:val="36"/>
          <w:szCs w:val="36"/>
        </w:rPr>
      </w:pPr>
      <w:bookmarkStart w:id="197" w:name="_Toc171603645"/>
    </w:p>
    <w:p>
      <w:pPr>
        <w:shd w:val="solid" w:color="FFFFFF" w:fill="auto"/>
        <w:autoSpaceDE w:val="0"/>
        <w:autoSpaceDN w:val="0"/>
        <w:adjustRightInd w:val="0"/>
        <w:snapToGrid w:val="0"/>
        <w:spacing w:line="580" w:lineRule="exact"/>
        <w:ind w:firstLine="0" w:firstLineChars="0"/>
        <w:jc w:val="center"/>
        <w:outlineLvl w:val="0"/>
        <w:rPr>
          <w:rFonts w:ascii="Times New Roman" w:hAnsi="Times New Roman" w:eastAsia="方正小标宋简体"/>
          <w:sz w:val="44"/>
          <w:szCs w:val="44"/>
        </w:rPr>
      </w:pPr>
      <w:bookmarkStart w:id="198" w:name="_Toc32415"/>
      <w:bookmarkStart w:id="199" w:name="_Toc26827"/>
      <w:bookmarkStart w:id="200" w:name="_Toc19311"/>
      <w:bookmarkStart w:id="201" w:name="_Toc7200"/>
      <w:r>
        <w:rPr>
          <w:rFonts w:ascii="Times New Roman" w:hAnsi="Times New Roman" w:eastAsia="方正小标宋简体"/>
          <w:sz w:val="44"/>
          <w:szCs w:val="44"/>
        </w:rPr>
        <w:t>质量管理体系认证业务范围分类</w:t>
      </w:r>
      <w:bookmarkEnd w:id="198"/>
      <w:bookmarkEnd w:id="199"/>
      <w:bookmarkEnd w:id="200"/>
      <w:bookmarkEnd w:id="201"/>
    </w:p>
    <w:p>
      <w:pPr>
        <w:shd w:val="solid" w:color="FFFFFF" w:fill="auto"/>
        <w:autoSpaceDE w:val="0"/>
        <w:autoSpaceDN w:val="0"/>
        <w:adjustRightInd w:val="0"/>
        <w:snapToGrid w:val="0"/>
        <w:spacing w:line="580" w:lineRule="exact"/>
        <w:ind w:firstLine="0" w:firstLineChars="0"/>
        <w:jc w:val="center"/>
        <w:outlineLvl w:val="0"/>
        <w:rPr>
          <w:rFonts w:ascii="Times New Roman" w:hAnsi="Times New Roman" w:eastAsia="方正小标宋简体"/>
          <w:sz w:val="44"/>
          <w:szCs w:val="44"/>
        </w:rPr>
      </w:pPr>
      <w:bookmarkStart w:id="202" w:name="_Toc32076"/>
      <w:bookmarkStart w:id="203" w:name="_Toc3832"/>
      <w:bookmarkStart w:id="204" w:name="_Toc26606"/>
      <w:bookmarkStart w:id="205" w:name="_Toc32644"/>
      <w:r>
        <w:rPr>
          <w:rFonts w:ascii="Times New Roman" w:hAnsi="Times New Roman" w:eastAsia="方正小标宋简体"/>
          <w:sz w:val="44"/>
          <w:szCs w:val="44"/>
        </w:rPr>
        <w:t>和风险类型示例</w:t>
      </w:r>
      <w:bookmarkEnd w:id="193"/>
      <w:bookmarkEnd w:id="194"/>
      <w:bookmarkEnd w:id="195"/>
      <w:bookmarkEnd w:id="196"/>
      <w:bookmarkEnd w:id="197"/>
      <w:bookmarkEnd w:id="202"/>
      <w:bookmarkEnd w:id="203"/>
      <w:bookmarkEnd w:id="204"/>
      <w:bookmarkEnd w:id="205"/>
    </w:p>
    <w:p>
      <w:pPr>
        <w:shd w:val="solid" w:color="FFFFFF" w:fill="auto"/>
        <w:autoSpaceDE w:val="0"/>
        <w:autoSpaceDN w:val="0"/>
        <w:adjustRightInd w:val="0"/>
        <w:snapToGrid w:val="0"/>
        <w:spacing w:line="600" w:lineRule="exact"/>
        <w:ind w:firstLine="640" w:firstLineChars="200"/>
        <w:outlineLvl w:val="0"/>
        <w:rPr>
          <w:rFonts w:hint="eastAsia" w:ascii="仿宋_GB2312" w:hAnsi="仿宋_GB2312" w:eastAsia="仿宋_GB2312" w:cs="仿宋_GB2312"/>
          <w:sz w:val="32"/>
          <w:szCs w:val="32"/>
          <w:shd w:val="clear" w:color="auto" w:fill="FFFFFF"/>
        </w:rPr>
      </w:pPr>
      <w:bookmarkStart w:id="206" w:name="_Toc171603646"/>
    </w:p>
    <w:p>
      <w:pPr>
        <w:shd w:val="solid" w:color="FFFFFF" w:fill="auto"/>
        <w:autoSpaceDE w:val="0"/>
        <w:autoSpaceDN w:val="0"/>
        <w:adjustRightInd w:val="0"/>
        <w:snapToGrid w:val="0"/>
        <w:spacing w:line="600" w:lineRule="exact"/>
        <w:ind w:firstLine="640" w:firstLineChars="200"/>
        <w:outlineLvl w:val="0"/>
        <w:rPr>
          <w:rFonts w:hint="eastAsia" w:ascii="仿宋_GB2312" w:hAnsi="仿宋_GB2312" w:eastAsia="仿宋_GB2312"/>
          <w:sz w:val="32"/>
          <w:szCs w:val="32"/>
          <w:shd w:val="clear" w:color="auto" w:fill="FFFFFF"/>
        </w:rPr>
      </w:pPr>
      <w:bookmarkStart w:id="207" w:name="_Toc3297"/>
      <w:bookmarkStart w:id="208" w:name="_Toc12417"/>
      <w:bookmarkStart w:id="209" w:name="_Toc3924"/>
      <w:bookmarkStart w:id="210" w:name="_Toc23262"/>
      <w:r>
        <w:rPr>
          <w:rFonts w:hint="eastAsia" w:ascii="仿宋_GB2312" w:hAnsi="仿宋_GB2312" w:eastAsia="仿宋_GB2312"/>
          <w:sz w:val="32"/>
          <w:szCs w:val="32"/>
          <w:shd w:val="clear" w:color="auto" w:fill="FFFFFF"/>
        </w:rPr>
        <w:t>质量管理体系认证业务范围共划分为39大类，详见表A.1</w:t>
      </w:r>
      <w:bookmarkEnd w:id="206"/>
      <w:r>
        <w:rPr>
          <w:rFonts w:hint="eastAsia" w:ascii="仿宋_GB2312" w:hAnsi="仿宋_GB2312" w:eastAsia="仿宋_GB2312"/>
          <w:sz w:val="32"/>
          <w:szCs w:val="32"/>
          <w:shd w:val="clear" w:color="auto" w:fill="FFFFFF"/>
        </w:rPr>
        <w:t>。</w:t>
      </w:r>
      <w:bookmarkEnd w:id="207"/>
      <w:bookmarkEnd w:id="208"/>
      <w:bookmarkEnd w:id="209"/>
      <w:bookmarkEnd w:id="210"/>
    </w:p>
    <w:p>
      <w:pPr>
        <w:adjustRightInd w:val="0"/>
        <w:snapToGrid w:val="0"/>
        <w:spacing w:before="157" w:beforeLines="50" w:after="156" w:afterLines="50" w:line="480" w:lineRule="exact"/>
        <w:jc w:val="center"/>
        <w:rPr>
          <w:rFonts w:hint="eastAsia" w:ascii="仿宋_GB2312" w:hAnsi="仿宋_GB2312" w:eastAsia="仿宋_GB2312"/>
          <w:b/>
          <w:bCs/>
          <w:kern w:val="0"/>
          <w:sz w:val="32"/>
          <w:szCs w:val="32"/>
        </w:rPr>
      </w:pPr>
      <w:r>
        <w:rPr>
          <w:rFonts w:hint="eastAsia" w:ascii="仿宋_GB2312" w:hAnsi="仿宋_GB2312" w:eastAsia="仿宋_GB2312"/>
          <w:b/>
          <w:bCs/>
          <w:sz w:val="32"/>
          <w:szCs w:val="32"/>
        </w:rPr>
        <w:t>表A.1  质量管理体系</w:t>
      </w:r>
      <w:r>
        <w:rPr>
          <w:rFonts w:hint="eastAsia" w:ascii="仿宋_GB2312" w:hAnsi="仿宋_GB2312" w:eastAsia="仿宋_GB2312"/>
          <w:b/>
          <w:bCs/>
          <w:kern w:val="0"/>
          <w:sz w:val="32"/>
          <w:szCs w:val="32"/>
        </w:rPr>
        <w:t>认证业务范围分类</w:t>
      </w:r>
    </w:p>
    <w:tbl>
      <w:tblPr>
        <w:tblStyle w:val="14"/>
        <w:tblW w:w="5000" w:type="pct"/>
        <w:tblInd w:w="0" w:type="dxa"/>
        <w:tblLayout w:type="autofit"/>
        <w:tblCellMar>
          <w:top w:w="0" w:type="dxa"/>
          <w:left w:w="108" w:type="dxa"/>
          <w:bottom w:w="0" w:type="dxa"/>
          <w:right w:w="108" w:type="dxa"/>
        </w:tblCellMar>
      </w:tblPr>
      <w:tblGrid>
        <w:gridCol w:w="934"/>
        <w:gridCol w:w="3449"/>
        <w:gridCol w:w="782"/>
        <w:gridCol w:w="4009"/>
      </w:tblGrid>
      <w:tr>
        <w:tblPrEx>
          <w:tblCellMar>
            <w:top w:w="0" w:type="dxa"/>
            <w:left w:w="108" w:type="dxa"/>
            <w:bottom w:w="0" w:type="dxa"/>
            <w:right w:w="108" w:type="dxa"/>
          </w:tblCellMar>
        </w:tblPrEx>
        <w:trPr>
          <w:trHeight w:val="454" w:hRule="exact"/>
          <w:tblHeader/>
        </w:trPr>
        <w:tc>
          <w:tcPr>
            <w:tcW w:w="509" w:type="pct"/>
            <w:tcBorders>
              <w:top w:val="single" w:color="auto" w:sz="4" w:space="0"/>
              <w:left w:val="single" w:color="auto" w:sz="4" w:space="0"/>
              <w:bottom w:val="single" w:color="auto" w:sz="4" w:space="0"/>
              <w:right w:val="single" w:color="auto" w:sz="4" w:space="0"/>
            </w:tcBorders>
            <w:vAlign w:val="center"/>
          </w:tcPr>
          <w:p>
            <w:pPr>
              <w:widowControl/>
              <w:spacing w:line="320" w:lineRule="exact"/>
              <w:ind w:firstLine="0" w:firstLineChars="0"/>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编号</w:t>
            </w:r>
          </w:p>
        </w:tc>
        <w:tc>
          <w:tcPr>
            <w:tcW w:w="1879" w:type="pct"/>
            <w:tcBorders>
              <w:top w:val="single" w:color="auto" w:sz="4" w:space="0"/>
              <w:left w:val="nil"/>
              <w:bottom w:val="single" w:color="auto" w:sz="4" w:space="0"/>
              <w:right w:val="single" w:color="auto" w:sz="4" w:space="0"/>
            </w:tcBorders>
            <w:vAlign w:val="center"/>
          </w:tcPr>
          <w:p>
            <w:pPr>
              <w:widowControl/>
              <w:spacing w:line="320" w:lineRule="exact"/>
              <w:ind w:firstLine="281" w:firstLineChars="100"/>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认证业务范围名称</w:t>
            </w:r>
          </w:p>
        </w:tc>
        <w:tc>
          <w:tcPr>
            <w:tcW w:w="426" w:type="pct"/>
            <w:tcBorders>
              <w:top w:val="single" w:color="auto" w:sz="4" w:space="0"/>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编号</w:t>
            </w:r>
          </w:p>
        </w:tc>
        <w:tc>
          <w:tcPr>
            <w:tcW w:w="2184" w:type="pct"/>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认证业务范围名称</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1</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农业、林业和渔业</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航空航天</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2</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采矿业和采石业</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其他运输设备</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3</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食品、饮料和烟草</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其他未另分类制造业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4</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纺织品及纺织制品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24</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回收业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5</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皮革及皮革制品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25</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供电业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6</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木材及木制品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26</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供气业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7</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纸浆、纸及纸制品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27</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供水业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cs="仿宋_GB2312"/>
                <w:kern w:val="0"/>
                <w:sz w:val="28"/>
                <w:szCs w:val="28"/>
                <w:lang w:val="en-US" w:eastAsia="zh-CN"/>
              </w:rPr>
              <w:t>0</w:t>
            </w:r>
            <w:r>
              <w:rPr>
                <w:rFonts w:hint="eastAsia" w:ascii="仿宋_GB2312" w:hAnsi="仿宋_GB2312" w:eastAsia="仿宋_GB2312" w:cs="仿宋_GB2312"/>
                <w:kern w:val="0"/>
                <w:sz w:val="28"/>
                <w:szCs w:val="28"/>
              </w:rPr>
              <w:t>8</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出版业</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28</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建设业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lang w:val="en-US" w:eastAsia="zh-CN"/>
              </w:rPr>
            </w:pPr>
            <w:r>
              <w:rPr>
                <w:rFonts w:hint="eastAsia" w:cs="仿宋_GB2312"/>
                <w:kern w:val="0"/>
                <w:sz w:val="28"/>
                <w:szCs w:val="28"/>
                <w:lang w:val="en-US" w:eastAsia="zh-CN"/>
              </w:rPr>
              <w:t>09</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印刷业</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29</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批发和零售业；汽车、摩托、</w:t>
            </w:r>
          </w:p>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个人及家庭用品修理业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焦炭及精炼石油制品</w:t>
            </w:r>
          </w:p>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的制造</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30</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宾馆及餐馆</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核燃料</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31</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运输、仓储和通信业</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化学品、化学制品及纤维</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32</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金融中介、房地产和租赁</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药品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33</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信息技术</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橡胶和塑料制品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34</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工程服务</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非金属矿物制品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35</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其他服务</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混凝土、水泥、石灰、石膏及其他</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36</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公共行政管理</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基础金属及金属制品</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37</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教育</w:t>
            </w:r>
          </w:p>
        </w:tc>
      </w:tr>
      <w:tr>
        <w:tblPrEx>
          <w:tblCellMar>
            <w:top w:w="0" w:type="dxa"/>
            <w:left w:w="108" w:type="dxa"/>
            <w:bottom w:w="0" w:type="dxa"/>
            <w:right w:w="108" w:type="dxa"/>
          </w:tblCellMar>
        </w:tblPrEx>
        <w:trPr>
          <w:trHeight w:val="680" w:hRule="exact"/>
        </w:trPr>
        <w:tc>
          <w:tcPr>
            <w:tcW w:w="509" w:type="pct"/>
            <w:tcBorders>
              <w:top w:val="nil"/>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w:t>
            </w:r>
          </w:p>
        </w:tc>
        <w:tc>
          <w:tcPr>
            <w:tcW w:w="1879"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机械及设备</w:t>
            </w:r>
          </w:p>
        </w:tc>
        <w:tc>
          <w:tcPr>
            <w:tcW w:w="426"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38</w:t>
            </w:r>
          </w:p>
        </w:tc>
        <w:tc>
          <w:tcPr>
            <w:tcW w:w="2184" w:type="pct"/>
            <w:tcBorders>
              <w:top w:val="nil"/>
              <w:left w:val="nil"/>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健康和社会工作</w:t>
            </w:r>
          </w:p>
        </w:tc>
      </w:tr>
      <w:tr>
        <w:tblPrEx>
          <w:tblCellMar>
            <w:top w:w="0" w:type="dxa"/>
            <w:left w:w="108" w:type="dxa"/>
            <w:bottom w:w="0" w:type="dxa"/>
            <w:right w:w="108" w:type="dxa"/>
          </w:tblCellMar>
        </w:tblPrEx>
        <w:trPr>
          <w:trHeight w:val="680" w:hRule="exact"/>
        </w:trPr>
        <w:tc>
          <w:tcPr>
            <w:tcW w:w="509" w:type="pct"/>
            <w:tcBorders>
              <w:top w:val="single" w:color="auto" w:sz="4" w:space="0"/>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w:t>
            </w:r>
          </w:p>
        </w:tc>
        <w:tc>
          <w:tcPr>
            <w:tcW w:w="1879" w:type="pct"/>
            <w:tcBorders>
              <w:top w:val="single" w:color="auto" w:sz="4" w:space="0"/>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电和光学设备</w:t>
            </w:r>
          </w:p>
        </w:tc>
        <w:tc>
          <w:tcPr>
            <w:tcW w:w="426" w:type="pct"/>
            <w:tcBorders>
              <w:top w:val="single" w:color="auto" w:sz="4" w:space="0"/>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39</w:t>
            </w:r>
          </w:p>
        </w:tc>
        <w:tc>
          <w:tcPr>
            <w:tcW w:w="2184" w:type="pct"/>
            <w:tcBorders>
              <w:top w:val="single" w:color="auto" w:sz="4" w:space="0"/>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其他社会服务</w:t>
            </w:r>
          </w:p>
        </w:tc>
      </w:tr>
      <w:tr>
        <w:tblPrEx>
          <w:tblCellMar>
            <w:top w:w="0" w:type="dxa"/>
            <w:left w:w="108" w:type="dxa"/>
            <w:bottom w:w="0" w:type="dxa"/>
            <w:right w:w="108" w:type="dxa"/>
          </w:tblCellMar>
        </w:tblPrEx>
        <w:trPr>
          <w:trHeight w:val="680" w:hRule="exact"/>
        </w:trPr>
        <w:tc>
          <w:tcPr>
            <w:tcW w:w="509" w:type="pct"/>
            <w:tcBorders>
              <w:top w:val="single" w:color="auto" w:sz="4" w:space="0"/>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w:t>
            </w:r>
          </w:p>
        </w:tc>
        <w:tc>
          <w:tcPr>
            <w:tcW w:w="1879" w:type="pct"/>
            <w:tcBorders>
              <w:top w:val="single" w:color="auto" w:sz="4" w:space="0"/>
              <w:left w:val="single" w:color="auto" w:sz="4" w:space="0"/>
              <w:bottom w:val="single" w:color="auto" w:sz="4" w:space="0"/>
              <w:right w:val="single" w:color="auto" w:sz="4" w:space="0"/>
            </w:tcBorders>
            <w:vAlign w:val="center"/>
          </w:tcPr>
          <w:p>
            <w:pPr>
              <w:widowControl/>
              <w:spacing w:line="320" w:lineRule="exact"/>
              <w:ind w:left="0" w:leftChars="0" w:firstLine="0" w:firstLineChars="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造船业</w:t>
            </w:r>
          </w:p>
        </w:tc>
        <w:tc>
          <w:tcPr>
            <w:tcW w:w="426" w:type="pct"/>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_GB2312" w:hAnsi="仿宋_GB2312" w:eastAsia="仿宋_GB2312" w:cs="仿宋_GB2312"/>
                <w:kern w:val="0"/>
                <w:sz w:val="28"/>
                <w:szCs w:val="28"/>
              </w:rPr>
            </w:pPr>
          </w:p>
        </w:tc>
        <w:tc>
          <w:tcPr>
            <w:tcW w:w="2184" w:type="pct"/>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_GB2312" w:hAnsi="仿宋_GB2312" w:eastAsia="仿宋_GB2312" w:cs="仿宋_GB2312"/>
                <w:kern w:val="0"/>
                <w:sz w:val="28"/>
                <w:szCs w:val="28"/>
              </w:rPr>
            </w:pPr>
          </w:p>
        </w:tc>
      </w:tr>
    </w:tbl>
    <w:p>
      <w:pPr>
        <w:adjustRightInd w:val="0"/>
        <w:snapToGrid w:val="0"/>
        <w:spacing w:line="440" w:lineRule="exact"/>
        <w:ind w:firstLine="480"/>
        <w:rPr>
          <w:rFonts w:hint="eastAsia" w:ascii="仿宋_GB2312" w:hAnsi="仿宋_GB2312" w:eastAsia="仿宋_GB2312" w:cs="仿宋_GB2312"/>
          <w:sz w:val="24"/>
          <w:szCs w:val="24"/>
        </w:rPr>
      </w:pPr>
    </w:p>
    <w:p>
      <w:pPr>
        <w:rPr>
          <w:rFonts w:ascii="Times New Roman" w:hAnsi="Times New Roman" w:eastAsia="华文仿宋"/>
          <w:kern w:val="0"/>
          <w:sz w:val="24"/>
          <w:szCs w:val="24"/>
        </w:rPr>
      </w:pPr>
      <w:r>
        <w:rPr>
          <w:rFonts w:ascii="Times New Roman" w:hAnsi="Times New Roman" w:eastAsia="华文仿宋"/>
          <w:kern w:val="0"/>
          <w:sz w:val="24"/>
          <w:szCs w:val="24"/>
        </w:rPr>
        <w:br w:type="page"/>
      </w:r>
    </w:p>
    <w:p>
      <w:pPr>
        <w:shd w:val="solid" w:color="FFFFFF" w:fill="auto"/>
        <w:autoSpaceDE w:val="0"/>
        <w:autoSpaceDN w:val="0"/>
        <w:adjustRightInd w:val="0"/>
        <w:snapToGrid w:val="0"/>
        <w:spacing w:before="157" w:beforeLines="50" w:after="156" w:afterLines="50" w:line="600" w:lineRule="exact"/>
        <w:jc w:val="center"/>
        <w:outlineLvl w:val="0"/>
        <w:rPr>
          <w:rFonts w:hint="eastAsia" w:ascii="仿宋_GB2312" w:hAnsi="仿宋_GB2312" w:eastAsia="仿宋_GB2312"/>
          <w:b/>
          <w:bCs/>
          <w:sz w:val="32"/>
          <w:szCs w:val="32"/>
        </w:rPr>
      </w:pPr>
      <w:bookmarkStart w:id="211" w:name="_Toc170821788"/>
      <w:bookmarkStart w:id="212" w:name="_Toc170821674"/>
      <w:bookmarkStart w:id="213" w:name="_Toc171603647"/>
      <w:bookmarkStart w:id="214" w:name="_Toc1088"/>
      <w:bookmarkStart w:id="215" w:name="_Toc12834"/>
      <w:bookmarkStart w:id="216" w:name="_Toc12436"/>
      <w:bookmarkStart w:id="217" w:name="_Toc17805"/>
      <w:r>
        <w:rPr>
          <w:rFonts w:hint="eastAsia" w:ascii="仿宋_GB2312" w:hAnsi="仿宋_GB2312" w:eastAsia="仿宋_GB2312"/>
          <w:b/>
          <w:bCs/>
          <w:sz w:val="32"/>
          <w:szCs w:val="32"/>
          <w:shd w:val="clear" w:color="auto" w:fill="FFFFFF"/>
        </w:rPr>
        <w:t>表A.2</w:t>
      </w:r>
      <w:bookmarkEnd w:id="211"/>
      <w:bookmarkEnd w:id="212"/>
      <w:r>
        <w:rPr>
          <w:rFonts w:hint="eastAsia" w:ascii="仿宋_GB2312" w:hAnsi="仿宋_GB2312" w:eastAsia="仿宋_GB2312"/>
          <w:b/>
          <w:bCs/>
          <w:sz w:val="32"/>
          <w:szCs w:val="32"/>
          <w:shd w:val="clear" w:color="auto" w:fill="FFFFFF"/>
        </w:rPr>
        <w:t xml:space="preserve"> </w:t>
      </w:r>
      <w:bookmarkStart w:id="218" w:name="_Toc170821789"/>
      <w:bookmarkStart w:id="219" w:name="_Toc170821675"/>
      <w:r>
        <w:rPr>
          <w:rFonts w:hint="eastAsia" w:ascii="仿宋_GB2312" w:hAnsi="仿宋_GB2312" w:eastAsia="仿宋_GB2312"/>
          <w:b/>
          <w:bCs/>
          <w:sz w:val="32"/>
          <w:szCs w:val="32"/>
        </w:rPr>
        <w:t xml:space="preserve"> 质量管理体系风险类型示例</w:t>
      </w:r>
      <w:bookmarkEnd w:id="213"/>
      <w:bookmarkEnd w:id="214"/>
      <w:bookmarkEnd w:id="215"/>
      <w:bookmarkEnd w:id="216"/>
      <w:bookmarkEnd w:id="217"/>
      <w:bookmarkEnd w:id="218"/>
      <w:bookmarkEnd w:id="219"/>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7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726" w:type="pct"/>
            <w:vAlign w:val="center"/>
          </w:tcPr>
          <w:p>
            <w:pPr>
              <w:pStyle w:val="43"/>
              <w:spacing w:line="360" w:lineRule="exac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高风险</w:t>
            </w:r>
          </w:p>
        </w:tc>
        <w:tc>
          <w:tcPr>
            <w:tcW w:w="4273" w:type="pct"/>
            <w:vAlign w:val="center"/>
          </w:tcPr>
          <w:p>
            <w:pPr>
              <w:pStyle w:val="43"/>
              <w:spacing w:line="360" w:lineRule="exact"/>
              <w:jc w:val="both"/>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产品或服务失效将引起巨大经济损失或引起生命危险。包括但不限于：食品，药品，飞机，造船，承重部件和结构，复杂的施工活动，电力和燃气设备，医疗卫生服务，捕鱼，核燃料，化学品，化学制品及纤维。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726" w:type="pct"/>
            <w:vAlign w:val="center"/>
          </w:tcPr>
          <w:p>
            <w:pPr>
              <w:pStyle w:val="43"/>
              <w:spacing w:line="360" w:lineRule="exac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中风险</w:t>
            </w:r>
          </w:p>
        </w:tc>
        <w:tc>
          <w:tcPr>
            <w:tcW w:w="4273" w:type="pct"/>
            <w:vAlign w:val="center"/>
          </w:tcPr>
          <w:p>
            <w:pPr>
              <w:pStyle w:val="43"/>
              <w:spacing w:line="360" w:lineRule="exact"/>
              <w:jc w:val="both"/>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产品或服务失效可能引起伤害或疾病。包括但不限于：非承重部件和结构，简单的施工活动，基础金属及制品，非金属制品，家具，光学仪器，休闲和个人服务。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726" w:type="pct"/>
            <w:vAlign w:val="center"/>
          </w:tcPr>
          <w:p>
            <w:pPr>
              <w:pStyle w:val="43"/>
              <w:spacing w:line="360" w:lineRule="exac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低风险</w:t>
            </w:r>
          </w:p>
        </w:tc>
        <w:tc>
          <w:tcPr>
            <w:tcW w:w="4273" w:type="pct"/>
            <w:vAlign w:val="center"/>
          </w:tcPr>
          <w:p>
            <w:pPr>
              <w:pStyle w:val="43"/>
              <w:spacing w:line="360" w:lineRule="exact"/>
              <w:jc w:val="both"/>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产品或服务失效不太可能引起伤害或疾病。包括但不限于：纺织品和服装，纸浆、纸及纸制品，出版，办公服务，教育，零售，酒店和餐馆。</w:t>
            </w:r>
          </w:p>
        </w:tc>
      </w:tr>
    </w:tbl>
    <w:p>
      <w:pPr>
        <w:shd w:val="solid" w:color="FFFFFF" w:fill="auto"/>
        <w:autoSpaceDE w:val="0"/>
        <w:autoSpaceDN w:val="0"/>
        <w:adjustRightInd w:val="0"/>
        <w:snapToGrid w:val="0"/>
        <w:spacing w:line="440" w:lineRule="exact"/>
        <w:ind w:firstLine="480"/>
        <w:outlineLvl w:val="0"/>
        <w:rPr>
          <w:rFonts w:hint="eastAsia" w:ascii="仿宋_GB2312" w:hAnsi="仿宋_GB2312" w:eastAsia="仿宋_GB2312"/>
          <w:sz w:val="24"/>
          <w:szCs w:val="24"/>
        </w:rPr>
      </w:pPr>
      <w:bookmarkStart w:id="220" w:name="_Toc11342"/>
      <w:bookmarkStart w:id="221" w:name="_Toc7230"/>
      <w:bookmarkStart w:id="222" w:name="_Toc21635"/>
      <w:bookmarkStart w:id="223" w:name="_Toc2764"/>
      <w:r>
        <w:rPr>
          <w:rFonts w:hint="eastAsia" w:ascii="仿宋_GB2312" w:hAnsi="仿宋_GB2312" w:eastAsia="仿宋_GB2312"/>
          <w:sz w:val="24"/>
          <w:szCs w:val="24"/>
        </w:rPr>
        <w:t>注：</w:t>
      </w:r>
      <w:bookmarkEnd w:id="220"/>
      <w:bookmarkEnd w:id="221"/>
      <w:bookmarkEnd w:id="222"/>
      <w:bookmarkEnd w:id="223"/>
    </w:p>
    <w:p>
      <w:pPr>
        <w:shd w:val="solid" w:color="FFFFFF" w:fill="auto"/>
        <w:autoSpaceDE w:val="0"/>
        <w:autoSpaceDN w:val="0"/>
        <w:adjustRightInd w:val="0"/>
        <w:snapToGrid w:val="0"/>
        <w:spacing w:line="440" w:lineRule="exact"/>
        <w:ind w:firstLine="480" w:firstLineChars="200"/>
        <w:outlineLvl w:val="0"/>
        <w:rPr>
          <w:rFonts w:hint="eastAsia" w:ascii="仿宋_GB2312" w:hAnsi="仿宋_GB2312" w:eastAsia="仿宋_GB2312"/>
          <w:sz w:val="24"/>
          <w:szCs w:val="24"/>
        </w:rPr>
      </w:pPr>
      <w:bookmarkStart w:id="224" w:name="_Toc2145"/>
      <w:bookmarkStart w:id="225" w:name="_Toc10924"/>
      <w:bookmarkStart w:id="226" w:name="_Toc1845"/>
      <w:bookmarkStart w:id="227" w:name="_Toc6620"/>
      <w:r>
        <w:rPr>
          <w:rFonts w:hint="eastAsia" w:ascii="仿宋_GB2312" w:hAnsi="仿宋_GB2312" w:eastAsia="仿宋_GB2312"/>
          <w:sz w:val="24"/>
          <w:szCs w:val="24"/>
        </w:rPr>
        <w:t>1.</w:t>
      </w:r>
      <w:r>
        <w:rPr>
          <w:rFonts w:hint="eastAsia"/>
          <w:sz w:val="24"/>
          <w:szCs w:val="24"/>
          <w:lang w:val="en-US" w:eastAsia="zh-CN"/>
        </w:rPr>
        <w:t>QMS认证业务的风险通常划分为高风险、中风险和低风险等三个级别，</w:t>
      </w:r>
      <w:r>
        <w:rPr>
          <w:rFonts w:hint="eastAsia" w:ascii="仿宋_GB2312" w:hAnsi="仿宋_GB2312" w:eastAsia="仿宋_GB2312"/>
          <w:sz w:val="24"/>
          <w:szCs w:val="24"/>
        </w:rPr>
        <w:t>风险类型并非固定不变，表</w:t>
      </w:r>
      <w:r>
        <w:rPr>
          <w:rFonts w:hint="eastAsia" w:ascii="仿宋_GB2312" w:hAnsi="仿宋_GB2312" w:eastAsia="仿宋_GB2312"/>
          <w:sz w:val="24"/>
          <w:szCs w:val="24"/>
          <w:shd w:val="clear" w:color="auto" w:fill="FFFFFF"/>
        </w:rPr>
        <w:t>A.2</w:t>
      </w:r>
      <w:r>
        <w:rPr>
          <w:rFonts w:hint="eastAsia" w:ascii="仿宋_GB2312" w:hAnsi="仿宋_GB2312" w:eastAsia="仿宋_GB2312"/>
          <w:sz w:val="24"/>
          <w:szCs w:val="24"/>
        </w:rPr>
        <w:t>作为示例，供认证机构在确定</w:t>
      </w:r>
      <w:r>
        <w:rPr>
          <w:rFonts w:hint="eastAsia"/>
          <w:sz w:val="24"/>
          <w:szCs w:val="24"/>
          <w:lang w:eastAsia="zh-CN"/>
        </w:rPr>
        <w:t>认证业务风险</w:t>
      </w:r>
      <w:r>
        <w:rPr>
          <w:rFonts w:hint="eastAsia" w:ascii="仿宋_GB2312" w:hAnsi="仿宋_GB2312" w:eastAsia="仿宋_GB2312"/>
          <w:sz w:val="24"/>
          <w:szCs w:val="24"/>
        </w:rPr>
        <w:t>类型时采用。</w:t>
      </w:r>
      <w:bookmarkEnd w:id="224"/>
      <w:bookmarkEnd w:id="225"/>
      <w:bookmarkEnd w:id="226"/>
      <w:bookmarkEnd w:id="227"/>
    </w:p>
    <w:p>
      <w:pPr>
        <w:shd w:val="solid" w:color="FFFFFF" w:fill="auto"/>
        <w:autoSpaceDE w:val="0"/>
        <w:autoSpaceDN w:val="0"/>
        <w:adjustRightInd w:val="0"/>
        <w:snapToGrid w:val="0"/>
        <w:spacing w:line="440" w:lineRule="exact"/>
        <w:ind w:firstLine="480" w:firstLineChars="200"/>
        <w:outlineLvl w:val="0"/>
        <w:rPr>
          <w:rFonts w:hint="eastAsia" w:ascii="仿宋_GB2312" w:hAnsi="仿宋_GB2312" w:eastAsia="仿宋_GB2312" w:cs="仿宋_GB2312"/>
          <w:sz w:val="24"/>
          <w:szCs w:val="24"/>
          <w:shd w:val="clear" w:color="auto" w:fill="FFFFFF"/>
        </w:rPr>
      </w:pPr>
      <w:bookmarkStart w:id="228" w:name="_Toc1660"/>
      <w:bookmarkStart w:id="229" w:name="_Toc3089"/>
      <w:bookmarkStart w:id="230" w:name="_Toc17461"/>
      <w:bookmarkStart w:id="231" w:name="_Toc170821676"/>
      <w:bookmarkStart w:id="232" w:name="_Toc26490"/>
      <w:bookmarkStart w:id="233" w:name="_Toc171603648"/>
      <w:bookmarkStart w:id="234" w:name="_Toc170821790"/>
      <w:r>
        <w:rPr>
          <w:rFonts w:hint="eastAsia" w:ascii="仿宋_GB2312" w:hAnsi="仿宋_GB2312" w:eastAsia="仿宋_GB2312"/>
          <w:sz w:val="24"/>
          <w:szCs w:val="24"/>
          <w:shd w:val="clear" w:color="auto" w:fill="FFFFFF"/>
        </w:rPr>
        <w:t>2.表A.1和表A.2是认证业务范围划分的基础，认证机构</w:t>
      </w:r>
      <w:r>
        <w:rPr>
          <w:rFonts w:hint="eastAsia" w:ascii="仿宋_GB2312" w:hAnsi="仿宋_GB2312" w:eastAsia="仿宋_GB2312" w:cs="仿宋_GB2312"/>
          <w:sz w:val="24"/>
          <w:szCs w:val="24"/>
          <w:shd w:val="clear" w:color="auto" w:fill="FFFFFF"/>
          <w:lang w:val="en-US" w:eastAsia="zh-CN"/>
        </w:rPr>
        <w:t>应</w:t>
      </w:r>
      <w:r>
        <w:rPr>
          <w:rFonts w:hint="eastAsia" w:ascii="仿宋_GB2312" w:hAnsi="仿宋_GB2312" w:eastAsia="仿宋_GB2312"/>
          <w:sz w:val="24"/>
          <w:szCs w:val="24"/>
          <w:shd w:val="clear" w:color="auto" w:fill="FFFFFF"/>
        </w:rPr>
        <w:t>在表A.1和表A.2的基础上进一步细分。</w:t>
      </w:r>
      <w:bookmarkEnd w:id="228"/>
      <w:bookmarkEnd w:id="229"/>
      <w:bookmarkEnd w:id="230"/>
      <w:bookmarkEnd w:id="231"/>
      <w:bookmarkEnd w:id="232"/>
      <w:bookmarkEnd w:id="233"/>
      <w:bookmarkEnd w:id="234"/>
    </w:p>
    <w:p>
      <w:pPr>
        <w:shd w:val="solid" w:color="FFFFFF" w:fill="auto"/>
        <w:autoSpaceDE w:val="0"/>
        <w:autoSpaceDN w:val="0"/>
        <w:adjustRightInd w:val="0"/>
        <w:snapToGrid w:val="0"/>
        <w:spacing w:line="400" w:lineRule="exact"/>
        <w:ind w:firstLine="480" w:firstLineChars="200"/>
        <w:outlineLvl w:val="0"/>
        <w:rPr>
          <w:rFonts w:hint="eastAsia" w:ascii="Times New Roman" w:hAnsi="Times New Roman" w:eastAsia="华文仿宋"/>
          <w:sz w:val="24"/>
          <w:szCs w:val="24"/>
          <w:shd w:val="clear" w:color="auto" w:fill="FFFFFF"/>
        </w:rPr>
      </w:pPr>
    </w:p>
    <w:p>
      <w:pPr>
        <w:ind w:left="0" w:leftChars="0" w:firstLine="0" w:firstLineChars="0"/>
        <w:rPr>
          <w:rFonts w:ascii="Times New Roman" w:hAnsi="Times New Roman" w:eastAsia="华文仿宋"/>
          <w:sz w:val="32"/>
          <w:szCs w:val="32"/>
        </w:rPr>
      </w:pPr>
      <w:bookmarkStart w:id="235" w:name="_Toc171603649"/>
      <w:bookmarkStart w:id="236" w:name="_Toc170821677"/>
      <w:bookmarkStart w:id="237" w:name="_Toc170821791"/>
      <w:r>
        <w:rPr>
          <w:rFonts w:ascii="Times New Roman" w:hAnsi="Times New Roman" w:eastAsia="华文仿宋"/>
          <w:b/>
          <w:bCs/>
          <w:sz w:val="32"/>
          <w:szCs w:val="32"/>
        </w:rPr>
        <w:br w:type="page"/>
      </w:r>
      <w:r>
        <w:rPr>
          <w:rFonts w:ascii="Times New Roman" w:hAnsi="Times New Roman" w:eastAsia="黑体"/>
          <w:sz w:val="32"/>
          <w:szCs w:val="32"/>
        </w:rPr>
        <w:t>附录</w:t>
      </w:r>
      <w:r>
        <w:rPr>
          <w:rFonts w:ascii="Times New Roman" w:hAnsi="Times New Roman" w:eastAsia="华文仿宋"/>
          <w:sz w:val="32"/>
          <w:szCs w:val="32"/>
        </w:rPr>
        <w:t>B</w:t>
      </w:r>
      <w:bookmarkEnd w:id="235"/>
      <w:r>
        <w:rPr>
          <w:rFonts w:ascii="Times New Roman" w:hAnsi="Times New Roman" w:eastAsia="华文仿宋"/>
          <w:sz w:val="32"/>
          <w:szCs w:val="32"/>
        </w:rPr>
        <w:t xml:space="preserve"> </w:t>
      </w:r>
    </w:p>
    <w:p>
      <w:pPr>
        <w:autoSpaceDE w:val="0"/>
        <w:autoSpaceDN w:val="0"/>
        <w:adjustRightInd w:val="0"/>
        <w:snapToGrid w:val="0"/>
        <w:spacing w:line="480" w:lineRule="exact"/>
        <w:ind w:left="0" w:leftChars="0" w:firstLine="0" w:firstLineChars="0"/>
        <w:outlineLvl w:val="0"/>
        <w:rPr>
          <w:rFonts w:ascii="Times New Roman" w:hAnsi="Times New Roman" w:eastAsia="方正小标宋简体"/>
          <w:sz w:val="36"/>
          <w:szCs w:val="36"/>
        </w:rPr>
      </w:pPr>
      <w:bookmarkStart w:id="238" w:name="_Toc171603650"/>
    </w:p>
    <w:p>
      <w:pPr>
        <w:autoSpaceDE w:val="0"/>
        <w:autoSpaceDN w:val="0"/>
        <w:adjustRightInd w:val="0"/>
        <w:snapToGrid w:val="0"/>
        <w:spacing w:line="580" w:lineRule="exact"/>
        <w:ind w:firstLine="0" w:firstLineChars="0"/>
        <w:jc w:val="center"/>
        <w:outlineLvl w:val="0"/>
        <w:rPr>
          <w:rFonts w:ascii="Times New Roman" w:hAnsi="Times New Roman" w:eastAsia="方正小标宋简体"/>
          <w:sz w:val="44"/>
          <w:szCs w:val="44"/>
        </w:rPr>
      </w:pPr>
      <w:bookmarkStart w:id="239" w:name="_Toc8890"/>
      <w:bookmarkStart w:id="240" w:name="_Toc32029"/>
      <w:bookmarkStart w:id="241" w:name="_Toc14086"/>
      <w:bookmarkStart w:id="242" w:name="_Toc32520"/>
      <w:r>
        <w:rPr>
          <w:rFonts w:ascii="Times New Roman" w:hAnsi="Times New Roman" w:eastAsia="方正小标宋简体"/>
          <w:sz w:val="44"/>
          <w:szCs w:val="44"/>
        </w:rPr>
        <w:t>质量管理体系认证审核时间要求</w:t>
      </w:r>
      <w:bookmarkEnd w:id="236"/>
      <w:bookmarkEnd w:id="237"/>
      <w:bookmarkEnd w:id="238"/>
      <w:bookmarkEnd w:id="239"/>
      <w:bookmarkEnd w:id="240"/>
      <w:bookmarkEnd w:id="241"/>
      <w:bookmarkEnd w:id="242"/>
    </w:p>
    <w:p>
      <w:pPr>
        <w:shd w:val="solid" w:color="FFFFFF" w:fill="auto"/>
        <w:autoSpaceDE w:val="0"/>
        <w:autoSpaceDN w:val="0"/>
        <w:adjustRightInd w:val="0"/>
        <w:snapToGrid w:val="0"/>
        <w:spacing w:line="480" w:lineRule="exact"/>
        <w:ind w:firstLine="641" w:firstLineChars="200"/>
        <w:jc w:val="center"/>
        <w:outlineLvl w:val="0"/>
        <w:rPr>
          <w:rFonts w:ascii="Times New Roman" w:hAnsi="Times New Roman" w:eastAsia="华文仿宋"/>
          <w:b/>
          <w:bCs/>
          <w:sz w:val="32"/>
          <w:szCs w:val="32"/>
        </w:rPr>
      </w:pPr>
      <w:bookmarkStart w:id="243" w:name="_Toc170821678"/>
      <w:bookmarkStart w:id="244" w:name="_Toc170821792"/>
      <w:bookmarkStart w:id="245" w:name="_Toc10342"/>
    </w:p>
    <w:bookmarkEnd w:id="243"/>
    <w:bookmarkEnd w:id="244"/>
    <w:bookmarkEnd w:id="245"/>
    <w:tbl>
      <w:tblPr>
        <w:tblStyle w:val="14"/>
        <w:tblW w:w="4996" w:type="pct"/>
        <w:jc w:val="center"/>
        <w:tblLayout w:type="fixed"/>
        <w:tblCellMar>
          <w:top w:w="0" w:type="dxa"/>
          <w:left w:w="108" w:type="dxa"/>
          <w:bottom w:w="0" w:type="dxa"/>
          <w:right w:w="108" w:type="dxa"/>
        </w:tblCellMar>
      </w:tblPr>
      <w:tblGrid>
        <w:gridCol w:w="1836"/>
        <w:gridCol w:w="2760"/>
        <w:gridCol w:w="1725"/>
        <w:gridCol w:w="2847"/>
      </w:tblGrid>
      <w:tr>
        <w:tblPrEx>
          <w:tblCellMar>
            <w:top w:w="0" w:type="dxa"/>
            <w:left w:w="108" w:type="dxa"/>
            <w:bottom w:w="0" w:type="dxa"/>
            <w:right w:w="108" w:type="dxa"/>
          </w:tblCellMar>
        </w:tblPrEx>
        <w:trPr>
          <w:trHeight w:val="400" w:hRule="atLeast"/>
          <w:jc w:val="center"/>
        </w:trPr>
        <w:tc>
          <w:tcPr>
            <w:tcW w:w="1001" w:type="pct"/>
            <w:vMerge w:val="restart"/>
            <w:tcBorders>
              <w:top w:val="single" w:color="auto" w:sz="4" w:space="0"/>
              <w:left w:val="single" w:color="auto" w:sz="4" w:space="0"/>
              <w:bottom w:val="single" w:color="auto" w:sz="4" w:space="0"/>
              <w:right w:val="single" w:color="auto" w:sz="4" w:space="0"/>
            </w:tcBorders>
            <w:vAlign w:val="center"/>
          </w:tcPr>
          <w:p>
            <w:pPr>
              <w:widowControl/>
              <w:spacing w:line="440" w:lineRule="exact"/>
              <w:ind w:firstLine="0" w:firstLineChars="0"/>
              <w:jc w:val="center"/>
              <w:rPr>
                <w:rFonts w:hint="eastAsia" w:ascii="仿宋_GB2312" w:hAnsi="仿宋_GB2312" w:eastAsia="仿宋_GB2312"/>
                <w:b/>
                <w:bCs/>
                <w:kern w:val="0"/>
                <w:sz w:val="28"/>
                <w:szCs w:val="28"/>
              </w:rPr>
            </w:pPr>
            <w:r>
              <w:rPr>
                <w:rFonts w:hint="eastAsia" w:ascii="仿宋_GB2312" w:hAnsi="仿宋_GB2312" w:eastAsia="仿宋_GB2312"/>
                <w:b/>
                <w:bCs/>
                <w:kern w:val="0"/>
                <w:sz w:val="28"/>
                <w:szCs w:val="28"/>
              </w:rPr>
              <w:t>有效人数</w:t>
            </w:r>
          </w:p>
        </w:tc>
        <w:tc>
          <w:tcPr>
            <w:tcW w:w="1505" w:type="pct"/>
            <w:tcBorders>
              <w:top w:val="single" w:color="auto" w:sz="4" w:space="0"/>
              <w:left w:val="nil"/>
              <w:bottom w:val="single" w:color="auto" w:sz="4" w:space="0"/>
              <w:right w:val="single" w:color="auto" w:sz="4" w:space="0"/>
            </w:tcBorders>
            <w:vAlign w:val="center"/>
          </w:tcPr>
          <w:p>
            <w:pPr>
              <w:widowControl/>
              <w:spacing w:line="440" w:lineRule="exact"/>
              <w:ind w:firstLine="0" w:firstLineChars="0"/>
              <w:jc w:val="center"/>
              <w:rPr>
                <w:rFonts w:hint="eastAsia" w:ascii="仿宋_GB2312" w:hAnsi="仿宋_GB2312" w:eastAsia="仿宋_GB2312"/>
                <w:b/>
                <w:bCs/>
                <w:kern w:val="0"/>
                <w:sz w:val="28"/>
                <w:szCs w:val="28"/>
              </w:rPr>
            </w:pPr>
            <w:r>
              <w:rPr>
                <w:rFonts w:hint="eastAsia" w:ascii="仿宋_GB2312" w:hAnsi="仿宋_GB2312" w:eastAsia="仿宋_GB2312"/>
                <w:b/>
                <w:bCs/>
                <w:kern w:val="0"/>
                <w:sz w:val="28"/>
                <w:szCs w:val="28"/>
              </w:rPr>
              <w:t>审核时间</w:t>
            </w:r>
          </w:p>
        </w:tc>
        <w:tc>
          <w:tcPr>
            <w:tcW w:w="940" w:type="pct"/>
            <w:vMerge w:val="restart"/>
            <w:tcBorders>
              <w:top w:val="single" w:color="auto" w:sz="4" w:space="0"/>
              <w:left w:val="single" w:color="auto" w:sz="4" w:space="0"/>
              <w:bottom w:val="single" w:color="auto" w:sz="4" w:space="0"/>
              <w:right w:val="single" w:color="auto" w:sz="4" w:space="0"/>
            </w:tcBorders>
            <w:vAlign w:val="center"/>
          </w:tcPr>
          <w:p>
            <w:pPr>
              <w:widowControl/>
              <w:spacing w:line="440" w:lineRule="exact"/>
              <w:ind w:firstLine="0" w:firstLineChars="0"/>
              <w:jc w:val="center"/>
              <w:rPr>
                <w:rFonts w:hint="eastAsia" w:ascii="仿宋_GB2312" w:hAnsi="仿宋_GB2312" w:eastAsia="仿宋_GB2312"/>
                <w:b/>
                <w:bCs/>
                <w:kern w:val="0"/>
                <w:sz w:val="28"/>
                <w:szCs w:val="28"/>
              </w:rPr>
            </w:pPr>
            <w:r>
              <w:rPr>
                <w:rFonts w:hint="eastAsia" w:ascii="仿宋_GB2312" w:hAnsi="仿宋_GB2312" w:eastAsia="仿宋_GB2312"/>
                <w:b/>
                <w:bCs/>
                <w:kern w:val="0"/>
                <w:sz w:val="28"/>
                <w:szCs w:val="28"/>
              </w:rPr>
              <w:t>有效人数</w:t>
            </w:r>
          </w:p>
        </w:tc>
        <w:tc>
          <w:tcPr>
            <w:tcW w:w="1552" w:type="pct"/>
            <w:tcBorders>
              <w:top w:val="single" w:color="auto" w:sz="4" w:space="0"/>
              <w:left w:val="nil"/>
              <w:bottom w:val="single" w:color="auto" w:sz="4" w:space="0"/>
              <w:right w:val="single" w:color="auto" w:sz="4" w:space="0"/>
            </w:tcBorders>
            <w:vAlign w:val="center"/>
          </w:tcPr>
          <w:p>
            <w:pPr>
              <w:widowControl/>
              <w:spacing w:line="440" w:lineRule="exact"/>
              <w:ind w:firstLine="0" w:firstLineChars="0"/>
              <w:jc w:val="center"/>
              <w:rPr>
                <w:rFonts w:hint="eastAsia" w:ascii="仿宋_GB2312" w:hAnsi="仿宋_GB2312" w:eastAsia="仿宋_GB2312"/>
                <w:b/>
                <w:bCs/>
                <w:kern w:val="0"/>
                <w:sz w:val="28"/>
                <w:szCs w:val="28"/>
              </w:rPr>
            </w:pPr>
            <w:r>
              <w:rPr>
                <w:rFonts w:hint="eastAsia" w:ascii="仿宋_GB2312" w:hAnsi="仿宋_GB2312" w:eastAsia="仿宋_GB2312"/>
                <w:b/>
                <w:bCs/>
                <w:kern w:val="0"/>
                <w:sz w:val="28"/>
                <w:szCs w:val="28"/>
              </w:rPr>
              <w:t>审核时间</w:t>
            </w:r>
          </w:p>
        </w:tc>
      </w:tr>
      <w:tr>
        <w:tblPrEx>
          <w:tblCellMar>
            <w:top w:w="0" w:type="dxa"/>
            <w:left w:w="108" w:type="dxa"/>
            <w:bottom w:w="0" w:type="dxa"/>
            <w:right w:w="108" w:type="dxa"/>
          </w:tblCellMar>
        </w:tblPrEx>
        <w:trPr>
          <w:trHeight w:val="400" w:hRule="atLeast"/>
          <w:jc w:val="center"/>
        </w:trPr>
        <w:tc>
          <w:tcPr>
            <w:tcW w:w="1001"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440" w:lineRule="exact"/>
              <w:jc w:val="center"/>
              <w:rPr>
                <w:rFonts w:hint="eastAsia" w:ascii="仿宋_GB2312" w:hAnsi="仿宋_GB2312" w:eastAsia="仿宋_GB2312"/>
                <w:b/>
                <w:bCs/>
                <w:kern w:val="0"/>
                <w:sz w:val="28"/>
                <w:szCs w:val="28"/>
              </w:rPr>
            </w:pPr>
          </w:p>
        </w:tc>
        <w:tc>
          <w:tcPr>
            <w:tcW w:w="1505" w:type="pct"/>
            <w:tcBorders>
              <w:top w:val="nil"/>
              <w:left w:val="nil"/>
              <w:bottom w:val="single" w:color="auto" w:sz="4" w:space="0"/>
              <w:right w:val="single" w:color="auto" w:sz="4" w:space="0"/>
            </w:tcBorders>
            <w:vAlign w:val="center"/>
          </w:tcPr>
          <w:p>
            <w:pPr>
              <w:widowControl/>
              <w:spacing w:line="440" w:lineRule="exact"/>
              <w:ind w:left="720" w:hanging="843" w:hangingChars="300"/>
              <w:jc w:val="center"/>
              <w:rPr>
                <w:rFonts w:hint="eastAsia" w:ascii="仿宋_GB2312" w:hAnsi="仿宋_GB2312" w:eastAsia="仿宋_GB2312" w:cs="仿宋_GB2312"/>
                <w:b/>
                <w:bCs/>
                <w:kern w:val="0"/>
                <w:sz w:val="28"/>
                <w:szCs w:val="28"/>
              </w:rPr>
            </w:pPr>
            <w:r>
              <w:rPr>
                <w:rFonts w:hint="eastAsia" w:ascii="仿宋_GB2312" w:hAnsi="仿宋_GB2312" w:eastAsia="仿宋_GB2312"/>
                <w:b/>
                <w:bCs/>
                <w:kern w:val="0"/>
                <w:sz w:val="28"/>
                <w:szCs w:val="28"/>
              </w:rPr>
              <w:t>第1阶段＋第2阶段</w:t>
            </w:r>
          </w:p>
          <w:p>
            <w:pPr>
              <w:widowControl/>
              <w:spacing w:line="440" w:lineRule="exact"/>
              <w:ind w:left="720" w:hanging="843" w:hangingChars="300"/>
              <w:jc w:val="center"/>
              <w:rPr>
                <w:rFonts w:hint="eastAsia" w:ascii="仿宋_GB2312" w:hAnsi="仿宋_GB2312" w:eastAsia="仿宋_GB2312"/>
                <w:b/>
                <w:bCs/>
                <w:kern w:val="0"/>
                <w:sz w:val="28"/>
                <w:szCs w:val="28"/>
              </w:rPr>
            </w:pPr>
            <w:r>
              <w:rPr>
                <w:rFonts w:hint="eastAsia" w:ascii="仿宋_GB2312" w:hAnsi="仿宋_GB2312" w:eastAsia="仿宋_GB2312"/>
                <w:b/>
                <w:bCs/>
                <w:kern w:val="0"/>
                <w:sz w:val="28"/>
                <w:szCs w:val="28"/>
              </w:rPr>
              <w:t>（人</w:t>
            </w:r>
            <w:r>
              <w:rPr>
                <w:rFonts w:hint="eastAsia"/>
                <w:b/>
                <w:bCs/>
                <w:kern w:val="0"/>
                <w:sz w:val="28"/>
                <w:szCs w:val="28"/>
                <w:lang w:eastAsia="zh-CN"/>
              </w:rPr>
              <w:t>日</w:t>
            </w:r>
            <w:r>
              <w:rPr>
                <w:rFonts w:hint="eastAsia" w:ascii="仿宋_GB2312" w:hAnsi="仿宋_GB2312" w:eastAsia="仿宋_GB2312"/>
                <w:b/>
                <w:bCs/>
                <w:kern w:val="0"/>
                <w:sz w:val="28"/>
                <w:szCs w:val="28"/>
              </w:rPr>
              <w:t>）</w:t>
            </w:r>
          </w:p>
        </w:tc>
        <w:tc>
          <w:tcPr>
            <w:tcW w:w="940"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440" w:lineRule="exact"/>
              <w:jc w:val="center"/>
              <w:rPr>
                <w:rFonts w:hint="eastAsia" w:ascii="仿宋_GB2312" w:hAnsi="仿宋_GB2312" w:eastAsia="仿宋_GB2312"/>
                <w:b/>
                <w:bCs/>
                <w:kern w:val="0"/>
                <w:sz w:val="28"/>
                <w:szCs w:val="28"/>
              </w:rPr>
            </w:pPr>
          </w:p>
        </w:tc>
        <w:tc>
          <w:tcPr>
            <w:tcW w:w="1552" w:type="pct"/>
            <w:tcBorders>
              <w:top w:val="nil"/>
              <w:left w:val="nil"/>
              <w:bottom w:val="single" w:color="auto" w:sz="4" w:space="0"/>
              <w:right w:val="single" w:color="auto" w:sz="4" w:space="0"/>
            </w:tcBorders>
            <w:vAlign w:val="center"/>
          </w:tcPr>
          <w:p>
            <w:pPr>
              <w:widowControl/>
              <w:spacing w:line="440" w:lineRule="exact"/>
              <w:ind w:firstLine="0" w:firstLineChars="0"/>
              <w:jc w:val="center"/>
              <w:rPr>
                <w:rFonts w:hint="eastAsia" w:ascii="仿宋_GB2312" w:hAnsi="仿宋_GB2312" w:eastAsia="仿宋_GB2312" w:cs="仿宋_GB2312"/>
                <w:b/>
                <w:bCs/>
                <w:kern w:val="0"/>
                <w:sz w:val="28"/>
                <w:szCs w:val="28"/>
              </w:rPr>
            </w:pPr>
            <w:r>
              <w:rPr>
                <w:rFonts w:hint="eastAsia" w:ascii="仿宋_GB2312" w:hAnsi="仿宋_GB2312" w:eastAsia="仿宋_GB2312"/>
                <w:b/>
                <w:bCs/>
                <w:kern w:val="0"/>
                <w:sz w:val="28"/>
                <w:szCs w:val="28"/>
              </w:rPr>
              <w:t>第1阶段＋第2阶段</w:t>
            </w:r>
          </w:p>
          <w:p>
            <w:pPr>
              <w:widowControl/>
              <w:spacing w:line="440" w:lineRule="exact"/>
              <w:ind w:firstLine="0" w:firstLineChars="0"/>
              <w:jc w:val="center"/>
              <w:rPr>
                <w:rFonts w:hint="eastAsia" w:ascii="仿宋_GB2312" w:hAnsi="仿宋_GB2312" w:eastAsia="仿宋_GB2312"/>
                <w:b/>
                <w:bCs/>
                <w:kern w:val="0"/>
                <w:sz w:val="28"/>
                <w:szCs w:val="28"/>
              </w:rPr>
            </w:pPr>
            <w:r>
              <w:rPr>
                <w:rFonts w:hint="eastAsia" w:ascii="仿宋_GB2312" w:hAnsi="仿宋_GB2312" w:eastAsia="仿宋_GB2312"/>
                <w:b/>
                <w:bCs/>
                <w:kern w:val="0"/>
                <w:sz w:val="28"/>
                <w:szCs w:val="28"/>
              </w:rPr>
              <w:t>（人</w:t>
            </w:r>
            <w:r>
              <w:rPr>
                <w:rFonts w:hint="eastAsia"/>
                <w:b/>
                <w:bCs/>
                <w:kern w:val="0"/>
                <w:sz w:val="28"/>
                <w:szCs w:val="28"/>
                <w:lang w:eastAsia="zh-CN"/>
              </w:rPr>
              <w:t>日</w:t>
            </w:r>
            <w:r>
              <w:rPr>
                <w:rFonts w:hint="eastAsia" w:ascii="仿宋_GB2312" w:hAnsi="仿宋_GB2312" w:eastAsia="仿宋_GB2312"/>
                <w:b/>
                <w:bCs/>
                <w:kern w:val="0"/>
                <w:sz w:val="28"/>
                <w:szCs w:val="28"/>
              </w:rPr>
              <w:t>）</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2.5</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876-1175</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13</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16-25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3</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1176-1550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14</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26-45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4</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1551-2025</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15</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46-65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5</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2026-2675</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16</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66-85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6</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2676-3450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17</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86-125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7</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3451-4350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18</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126-175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8</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4351-5450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19</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176-275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9</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5451-6800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20</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276-425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10</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6801-8500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21</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426-625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11</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8501-10700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22</w:t>
            </w:r>
          </w:p>
        </w:tc>
      </w:tr>
      <w:tr>
        <w:tblPrEx>
          <w:tblCellMar>
            <w:top w:w="0" w:type="dxa"/>
            <w:left w:w="108" w:type="dxa"/>
            <w:bottom w:w="0" w:type="dxa"/>
            <w:right w:w="108" w:type="dxa"/>
          </w:tblCellMar>
        </w:tblPrEx>
        <w:trPr>
          <w:trHeight w:val="450" w:hRule="atLeast"/>
          <w:jc w:val="center"/>
        </w:trPr>
        <w:tc>
          <w:tcPr>
            <w:tcW w:w="1001" w:type="pct"/>
            <w:tcBorders>
              <w:top w:val="nil"/>
              <w:left w:val="single" w:color="auto" w:sz="4" w:space="0"/>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626-875</w:t>
            </w:r>
          </w:p>
        </w:tc>
        <w:tc>
          <w:tcPr>
            <w:tcW w:w="1505"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12</w:t>
            </w:r>
          </w:p>
        </w:tc>
        <w:tc>
          <w:tcPr>
            <w:tcW w:w="940"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&gt;10700</w:t>
            </w:r>
          </w:p>
        </w:tc>
        <w:tc>
          <w:tcPr>
            <w:tcW w:w="1552" w:type="pct"/>
            <w:tcBorders>
              <w:top w:val="nil"/>
              <w:left w:val="nil"/>
              <w:bottom w:val="single" w:color="auto" w:sz="4" w:space="0"/>
              <w:right w:val="single" w:color="auto" w:sz="4" w:space="0"/>
            </w:tcBorders>
            <w:vAlign w:val="center"/>
          </w:tcPr>
          <w:p>
            <w:pPr>
              <w:widowControl/>
              <w:ind w:left="0" w:leftChars="0" w:firstLine="0" w:firstLineChars="0"/>
              <w:jc w:val="center"/>
              <w:rPr>
                <w:rFonts w:hint="eastAsia" w:ascii="仿宋_GB2312" w:hAnsi="仿宋_GB2312" w:eastAsia="仿宋_GB2312"/>
                <w:kern w:val="0"/>
                <w:sz w:val="28"/>
                <w:szCs w:val="28"/>
              </w:rPr>
            </w:pPr>
            <w:r>
              <w:rPr>
                <w:rFonts w:hint="eastAsia" w:ascii="仿宋_GB2312" w:hAnsi="仿宋_GB2312" w:eastAsia="仿宋_GB2312"/>
                <w:kern w:val="0"/>
                <w:sz w:val="28"/>
                <w:szCs w:val="28"/>
              </w:rPr>
              <w:t>遵循上述递进规律</w:t>
            </w:r>
          </w:p>
        </w:tc>
      </w:tr>
    </w:tbl>
    <w:p>
      <w:pPr>
        <w:shd w:val="solid" w:color="FFFFFF" w:fill="auto"/>
        <w:autoSpaceDE/>
        <w:autoSpaceDN/>
        <w:adjustRightInd w:val="0"/>
        <w:snapToGrid w:val="0"/>
        <w:spacing w:line="440" w:lineRule="exact"/>
        <w:ind w:firstLine="480"/>
        <w:rPr>
          <w:rFonts w:ascii="Times New Roman" w:hAnsi="Times New Roman" w:eastAsia="华文仿宋"/>
          <w:sz w:val="24"/>
          <w:szCs w:val="24"/>
          <w:shd w:val="clear" w:color="auto" w:fill="FFFFFF"/>
        </w:rPr>
      </w:pPr>
      <w:r>
        <w:rPr>
          <w:rFonts w:ascii="Times New Roman" w:hAnsi="Times New Roman" w:eastAsia="华文仿宋"/>
          <w:sz w:val="24"/>
          <w:szCs w:val="24"/>
          <w:shd w:val="clear" w:color="auto" w:fill="FFFFFF"/>
        </w:rPr>
        <w:t>注：</w:t>
      </w:r>
    </w:p>
    <w:p>
      <w:pPr>
        <w:numPr>
          <w:ilvl w:val="-1"/>
          <w:numId w:val="0"/>
        </w:numPr>
        <w:shd w:val="solid" w:color="FFFFFF" w:fill="auto"/>
        <w:autoSpaceDE/>
        <w:autoSpaceDN/>
        <w:adjustRightInd w:val="0"/>
        <w:snapToGrid w:val="0"/>
        <w:spacing w:line="440" w:lineRule="exact"/>
        <w:ind w:firstLine="480" w:firstLineChars="200"/>
        <w:rPr>
          <w:rFonts w:ascii="Times New Roman" w:hAnsi="Times New Roman" w:eastAsia="华文仿宋"/>
          <w:sz w:val="24"/>
          <w:szCs w:val="24"/>
          <w:shd w:val="clear" w:color="auto" w:fill="FFFFFF"/>
        </w:rPr>
      </w:pPr>
      <w:r>
        <w:rPr>
          <w:rFonts w:hint="eastAsia" w:ascii="Times New Roman" w:hAnsi="Times New Roman" w:eastAsia="华文仿宋"/>
          <w:sz w:val="24"/>
          <w:szCs w:val="24"/>
          <w:shd w:val="clear" w:color="auto" w:fill="FFFFFF"/>
          <w:lang w:val="en-US" w:eastAsia="zh-CN"/>
        </w:rPr>
        <w:t>1.</w:t>
      </w:r>
      <w:r>
        <w:rPr>
          <w:rFonts w:ascii="Times New Roman" w:hAnsi="Times New Roman" w:eastAsia="华文仿宋"/>
          <w:sz w:val="24"/>
          <w:szCs w:val="24"/>
          <w:shd w:val="clear" w:color="auto" w:fill="FFFFFF"/>
        </w:rPr>
        <w:t>有效人数包括认证范围内涉及的所有人员（含每个班次的人员）。认证范围内</w:t>
      </w:r>
      <w:r>
        <w:rPr>
          <w:rFonts w:hint="eastAsia" w:ascii="Times New Roman" w:hAnsi="Times New Roman" w:eastAsia="华文仿宋"/>
          <w:sz w:val="24"/>
          <w:szCs w:val="24"/>
          <w:shd w:val="clear" w:color="auto" w:fill="FFFFFF"/>
          <w:lang w:val="en-US" w:eastAsia="zh-CN"/>
        </w:rPr>
        <w:t>覆盖</w:t>
      </w:r>
      <w:r>
        <w:rPr>
          <w:rFonts w:ascii="Times New Roman" w:hAnsi="Times New Roman" w:eastAsia="华文仿宋"/>
          <w:sz w:val="24"/>
          <w:szCs w:val="24"/>
          <w:shd w:val="clear" w:color="auto" w:fill="FFFFFF"/>
        </w:rPr>
        <w:t>的非固定人员（如承包商人员）和兼职人员也应包括在有效人数内。</w:t>
      </w:r>
    </w:p>
    <w:p>
      <w:pPr>
        <w:numPr>
          <w:ilvl w:val="-1"/>
          <w:numId w:val="0"/>
        </w:numPr>
        <w:shd w:val="solid" w:color="FFFFFF" w:fill="auto"/>
        <w:autoSpaceDE/>
        <w:autoSpaceDN/>
        <w:adjustRightInd w:val="0"/>
        <w:snapToGrid w:val="0"/>
        <w:spacing w:line="440" w:lineRule="exact"/>
        <w:ind w:firstLine="480" w:firstLineChars="200"/>
        <w:rPr>
          <w:rFonts w:ascii="Times New Roman" w:hAnsi="Times New Roman" w:eastAsia="华文仿宋"/>
          <w:sz w:val="24"/>
          <w:szCs w:val="24"/>
          <w:shd w:val="clear" w:color="auto" w:fill="FFFFFF"/>
        </w:rPr>
      </w:pPr>
      <w:r>
        <w:rPr>
          <w:rFonts w:hint="eastAsia" w:ascii="Times New Roman" w:hAnsi="Times New Roman" w:eastAsia="华文仿宋"/>
          <w:sz w:val="24"/>
          <w:szCs w:val="24"/>
          <w:shd w:val="clear" w:color="auto" w:fill="FFFFFF"/>
          <w:lang w:val="en-US" w:eastAsia="zh-CN"/>
        </w:rPr>
        <w:t>2.</w:t>
      </w:r>
      <w:r>
        <w:rPr>
          <w:rFonts w:ascii="Times New Roman" w:hAnsi="Times New Roman" w:eastAsia="华文仿宋"/>
          <w:sz w:val="24"/>
          <w:szCs w:val="24"/>
          <w:shd w:val="clear" w:color="auto" w:fill="FFFFFF"/>
        </w:rPr>
        <w:t>对非固定人员（包括季节性人员、临时人员和分包商人员）和兼职人员的有效人数</w:t>
      </w:r>
      <w:r>
        <w:rPr>
          <w:rFonts w:hint="eastAsia" w:ascii="Times New Roman" w:hAnsi="Times New Roman" w:eastAsia="华文仿宋"/>
          <w:sz w:val="24"/>
          <w:szCs w:val="24"/>
          <w:shd w:val="clear" w:color="auto" w:fill="FFFFFF"/>
          <w:lang w:eastAsia="zh-CN"/>
        </w:rPr>
        <w:t>确</w:t>
      </w:r>
      <w:r>
        <w:rPr>
          <w:rFonts w:ascii="Times New Roman" w:hAnsi="Times New Roman" w:eastAsia="华文仿宋"/>
          <w:sz w:val="24"/>
          <w:szCs w:val="24"/>
          <w:shd w:val="clear" w:color="auto" w:fill="FFFFFF"/>
        </w:rPr>
        <w:t>定，可根据其实际工作小时数予以适当减少或换算成等效的全职人员数。</w:t>
      </w:r>
    </w:p>
    <w:p>
      <w:pPr>
        <w:numPr>
          <w:ilvl w:val="-1"/>
          <w:numId w:val="0"/>
        </w:numPr>
        <w:shd w:val="solid" w:color="FFFFFF" w:fill="auto"/>
        <w:autoSpaceDE/>
        <w:autoSpaceDN/>
        <w:adjustRightInd w:val="0"/>
        <w:snapToGrid w:val="0"/>
        <w:spacing w:line="440" w:lineRule="exact"/>
        <w:ind w:firstLine="480" w:firstLineChars="200"/>
        <w:rPr>
          <w:rFonts w:ascii="Times New Roman" w:hAnsi="Times New Roman" w:eastAsia="华文仿宋"/>
          <w:sz w:val="24"/>
          <w:szCs w:val="24"/>
          <w:shd w:val="clear" w:color="auto" w:fill="FFFFFF"/>
        </w:rPr>
      </w:pPr>
      <w:r>
        <w:rPr>
          <w:rFonts w:hint="eastAsia" w:ascii="Times New Roman" w:hAnsi="Times New Roman" w:eastAsia="华文仿宋"/>
          <w:sz w:val="24"/>
          <w:szCs w:val="24"/>
          <w:shd w:val="clear" w:color="auto" w:fill="FFFFFF"/>
          <w:lang w:val="en-US" w:eastAsia="zh-CN"/>
        </w:rPr>
        <w:t>3.认证委托人</w:t>
      </w:r>
      <w:r>
        <w:rPr>
          <w:rFonts w:ascii="Times New Roman" w:hAnsi="Times New Roman" w:eastAsia="华文仿宋"/>
          <w:sz w:val="24"/>
          <w:szCs w:val="24"/>
          <w:shd w:val="clear" w:color="auto" w:fill="FFFFFF"/>
        </w:rPr>
        <w:t>正常工作期间（包括轮班）安排的审核时间可以计入有效的管理体系认证审核时间，但往返多</w:t>
      </w:r>
      <w:r>
        <w:rPr>
          <w:rFonts w:hint="eastAsia" w:ascii="Times New Roman" w:hAnsi="Times New Roman" w:eastAsia="华文仿宋"/>
          <w:sz w:val="24"/>
          <w:szCs w:val="24"/>
          <w:shd w:val="clear" w:color="auto" w:fill="FFFFFF"/>
          <w:lang w:eastAsia="zh-CN"/>
        </w:rPr>
        <w:t>个</w:t>
      </w:r>
      <w:r>
        <w:rPr>
          <w:rFonts w:ascii="Times New Roman" w:hAnsi="Times New Roman" w:eastAsia="华文仿宋"/>
          <w:sz w:val="24"/>
          <w:szCs w:val="24"/>
          <w:shd w:val="clear" w:color="auto" w:fill="FFFFFF"/>
        </w:rPr>
        <w:t>审核场所之间所花费的</w:t>
      </w:r>
      <w:r>
        <w:rPr>
          <w:rFonts w:hint="eastAsia" w:ascii="Times New Roman" w:hAnsi="Times New Roman" w:eastAsia="华文仿宋"/>
          <w:sz w:val="24"/>
          <w:szCs w:val="24"/>
          <w:shd w:val="clear" w:color="auto" w:fill="FFFFFF"/>
          <w:lang w:eastAsia="zh-CN"/>
        </w:rPr>
        <w:t>路途</w:t>
      </w:r>
      <w:r>
        <w:rPr>
          <w:rFonts w:ascii="Times New Roman" w:hAnsi="Times New Roman" w:eastAsia="华文仿宋"/>
          <w:sz w:val="24"/>
          <w:szCs w:val="24"/>
          <w:shd w:val="clear" w:color="auto" w:fill="FFFFFF"/>
        </w:rPr>
        <w:t>时间不计入有效的管理体系认证审核时间。</w:t>
      </w:r>
      <w:bookmarkEnd w:id="0"/>
    </w:p>
    <w:p>
      <w:pPr>
        <w:numPr>
          <w:ilvl w:val="-1"/>
          <w:numId w:val="0"/>
        </w:numPr>
        <w:shd w:val="solid" w:color="FFFFFF" w:fill="auto"/>
        <w:autoSpaceDE/>
        <w:autoSpaceDN/>
        <w:adjustRightInd w:val="0"/>
        <w:snapToGrid w:val="0"/>
        <w:spacing w:line="440" w:lineRule="exact"/>
        <w:ind w:firstLine="480" w:firstLineChars="200"/>
        <w:rPr>
          <w:rFonts w:ascii="Times New Roman" w:hAnsi="Times New Roman" w:eastAsia="华文仿宋"/>
          <w:sz w:val="24"/>
          <w:szCs w:val="24"/>
          <w:shd w:val="clear" w:color="auto" w:fill="FFFFFF"/>
        </w:rPr>
      </w:pPr>
      <w:r>
        <w:rPr>
          <w:rFonts w:hint="eastAsia" w:ascii="Times New Roman" w:hAnsi="Times New Roman" w:eastAsia="华文仿宋"/>
          <w:sz w:val="24"/>
          <w:szCs w:val="24"/>
          <w:shd w:val="clear" w:color="auto" w:fill="FFFFFF"/>
          <w:lang w:val="en-US" w:eastAsia="zh-CN"/>
        </w:rPr>
        <w:t>4.</w:t>
      </w:r>
      <w:r>
        <w:rPr>
          <w:rFonts w:ascii="Times New Roman" w:hAnsi="Times New Roman" w:eastAsia="华文仿宋"/>
          <w:sz w:val="24"/>
          <w:szCs w:val="24"/>
          <w:shd w:val="clear" w:color="auto" w:fill="FFFFFF"/>
        </w:rPr>
        <w:t>被确定为低风险</w:t>
      </w:r>
      <w:r>
        <w:rPr>
          <w:rFonts w:hint="eastAsia" w:ascii="Times New Roman" w:hAnsi="Times New Roman" w:eastAsia="华文仿宋"/>
          <w:sz w:val="24"/>
          <w:szCs w:val="24"/>
          <w:shd w:val="clear" w:color="auto" w:fill="FFFFFF"/>
          <w:lang w:eastAsia="zh-CN"/>
        </w:rPr>
        <w:t>认证</w:t>
      </w:r>
      <w:r>
        <w:rPr>
          <w:rFonts w:ascii="Times New Roman" w:hAnsi="Times New Roman" w:eastAsia="华文仿宋"/>
          <w:sz w:val="24"/>
          <w:szCs w:val="24"/>
          <w:shd w:val="clear" w:color="auto" w:fill="FFFFFF"/>
        </w:rPr>
        <w:t>业务</w:t>
      </w:r>
      <w:r>
        <w:rPr>
          <w:rFonts w:hint="eastAsia" w:ascii="Times New Roman" w:hAnsi="Times New Roman" w:eastAsia="华文仿宋"/>
          <w:sz w:val="24"/>
          <w:szCs w:val="24"/>
          <w:shd w:val="clear" w:color="auto" w:fill="FFFFFF"/>
          <w:lang w:eastAsia="zh-CN"/>
        </w:rPr>
        <w:t>类别的，认证审核</w:t>
      </w:r>
      <w:r>
        <w:rPr>
          <w:rFonts w:ascii="Times New Roman" w:hAnsi="Times New Roman" w:eastAsia="华文仿宋"/>
          <w:sz w:val="24"/>
          <w:szCs w:val="24"/>
          <w:shd w:val="clear" w:color="auto" w:fill="FFFFFF"/>
        </w:rPr>
        <w:t>活动可</w:t>
      </w:r>
      <w:r>
        <w:rPr>
          <w:rFonts w:hint="eastAsia" w:ascii="Times New Roman" w:hAnsi="Times New Roman" w:eastAsia="华文仿宋"/>
          <w:sz w:val="24"/>
          <w:szCs w:val="24"/>
          <w:shd w:val="clear" w:color="auto" w:fill="FFFFFF"/>
          <w:lang w:eastAsia="zh-CN"/>
        </w:rPr>
        <w:t>根据</w:t>
      </w:r>
      <w:r>
        <w:rPr>
          <w:rFonts w:ascii="Times New Roman" w:hAnsi="Times New Roman" w:eastAsia="华文仿宋"/>
          <w:sz w:val="24"/>
          <w:szCs w:val="24"/>
          <w:shd w:val="clear" w:color="auto" w:fill="FFFFFF"/>
        </w:rPr>
        <w:t>需要</w:t>
      </w:r>
      <w:r>
        <w:rPr>
          <w:rFonts w:hint="eastAsia" w:ascii="Times New Roman" w:hAnsi="Times New Roman" w:eastAsia="华文仿宋"/>
          <w:sz w:val="24"/>
          <w:szCs w:val="24"/>
          <w:shd w:val="clear" w:color="auto" w:fill="FFFFFF"/>
          <w:lang w:eastAsia="zh-CN"/>
        </w:rPr>
        <w:t>在按照</w:t>
      </w:r>
      <w:r>
        <w:rPr>
          <w:rFonts w:ascii="Times New Roman" w:hAnsi="Times New Roman" w:eastAsia="华文仿宋"/>
          <w:sz w:val="24"/>
          <w:szCs w:val="24"/>
          <w:shd w:val="clear" w:color="auto" w:fill="FFFFFF"/>
        </w:rPr>
        <w:t>附录B计算</w:t>
      </w:r>
      <w:r>
        <w:rPr>
          <w:rFonts w:hint="eastAsia" w:ascii="Times New Roman" w:hAnsi="Times New Roman" w:eastAsia="华文仿宋"/>
          <w:sz w:val="24"/>
          <w:szCs w:val="24"/>
          <w:shd w:val="clear" w:color="auto" w:fill="FFFFFF"/>
          <w:lang w:eastAsia="zh-CN"/>
        </w:rPr>
        <w:t>所得</w:t>
      </w:r>
      <w:r>
        <w:rPr>
          <w:rFonts w:ascii="Times New Roman" w:hAnsi="Times New Roman" w:eastAsia="华文仿宋"/>
          <w:sz w:val="24"/>
          <w:szCs w:val="24"/>
          <w:shd w:val="clear" w:color="auto" w:fill="FFFFFF"/>
        </w:rPr>
        <w:t>审核时间</w:t>
      </w:r>
      <w:r>
        <w:rPr>
          <w:rFonts w:hint="eastAsia" w:ascii="Times New Roman" w:hAnsi="Times New Roman" w:eastAsia="华文仿宋"/>
          <w:sz w:val="24"/>
          <w:szCs w:val="24"/>
          <w:shd w:val="clear" w:color="auto" w:fill="FFFFFF"/>
          <w:lang w:eastAsia="zh-CN"/>
        </w:rPr>
        <w:t>的基础上</w:t>
      </w:r>
      <w:r>
        <w:rPr>
          <w:rFonts w:ascii="Times New Roman" w:hAnsi="Times New Roman" w:eastAsia="华文仿宋"/>
          <w:sz w:val="24"/>
          <w:szCs w:val="24"/>
          <w:shd w:val="clear" w:color="auto" w:fill="FFFFFF"/>
        </w:rPr>
        <w:t>，最多减少10%</w:t>
      </w:r>
      <w:r>
        <w:rPr>
          <w:rFonts w:hint="eastAsia" w:ascii="Times New Roman" w:hAnsi="Times New Roman" w:eastAsia="华文仿宋"/>
          <w:sz w:val="24"/>
          <w:szCs w:val="24"/>
          <w:shd w:val="clear" w:color="auto" w:fill="FFFFFF"/>
          <w:lang w:eastAsia="zh-CN"/>
        </w:rPr>
        <w:t>；</w:t>
      </w:r>
      <w:r>
        <w:rPr>
          <w:rFonts w:ascii="Times New Roman" w:hAnsi="Times New Roman" w:eastAsia="华文仿宋"/>
          <w:sz w:val="24"/>
          <w:szCs w:val="24"/>
          <w:shd w:val="clear" w:color="auto" w:fill="FFFFFF"/>
        </w:rPr>
        <w:t>被确定为中风险</w:t>
      </w:r>
      <w:r>
        <w:rPr>
          <w:rFonts w:hint="eastAsia" w:ascii="Times New Roman" w:hAnsi="Times New Roman" w:eastAsia="华文仿宋"/>
          <w:sz w:val="24"/>
          <w:szCs w:val="24"/>
          <w:shd w:val="clear" w:color="auto" w:fill="FFFFFF"/>
          <w:lang w:eastAsia="zh-CN"/>
        </w:rPr>
        <w:t>认证</w:t>
      </w:r>
      <w:r>
        <w:rPr>
          <w:rFonts w:ascii="Times New Roman" w:hAnsi="Times New Roman" w:eastAsia="华文仿宋"/>
          <w:sz w:val="24"/>
          <w:szCs w:val="24"/>
          <w:shd w:val="clear" w:color="auto" w:fill="FFFFFF"/>
        </w:rPr>
        <w:t>业务</w:t>
      </w:r>
      <w:r>
        <w:rPr>
          <w:rFonts w:hint="eastAsia" w:ascii="Times New Roman" w:hAnsi="Times New Roman" w:eastAsia="华文仿宋"/>
          <w:sz w:val="24"/>
          <w:szCs w:val="24"/>
          <w:shd w:val="clear" w:color="auto" w:fill="FFFFFF"/>
          <w:lang w:eastAsia="zh-CN"/>
        </w:rPr>
        <w:t>类别的，认证审核</w:t>
      </w:r>
      <w:r>
        <w:rPr>
          <w:rFonts w:ascii="Times New Roman" w:hAnsi="Times New Roman" w:eastAsia="华文仿宋"/>
          <w:sz w:val="24"/>
          <w:szCs w:val="24"/>
          <w:shd w:val="clear" w:color="auto" w:fill="FFFFFF"/>
        </w:rPr>
        <w:t>活动应</w:t>
      </w:r>
      <w:r>
        <w:rPr>
          <w:rFonts w:hint="eastAsia" w:ascii="Times New Roman" w:hAnsi="Times New Roman" w:eastAsia="华文仿宋"/>
          <w:sz w:val="24"/>
          <w:szCs w:val="24"/>
          <w:shd w:val="clear" w:color="auto" w:fill="FFFFFF"/>
          <w:lang w:eastAsia="zh-CN"/>
        </w:rPr>
        <w:t>按照</w:t>
      </w:r>
      <w:r>
        <w:rPr>
          <w:rFonts w:ascii="Times New Roman" w:hAnsi="Times New Roman" w:eastAsia="华文仿宋"/>
          <w:sz w:val="24"/>
          <w:szCs w:val="24"/>
          <w:shd w:val="clear" w:color="auto" w:fill="FFFFFF"/>
        </w:rPr>
        <w:t>附录B计算审核时间</w:t>
      </w:r>
      <w:r>
        <w:rPr>
          <w:rFonts w:hint="eastAsia" w:ascii="Times New Roman" w:hAnsi="Times New Roman" w:eastAsia="华文仿宋"/>
          <w:sz w:val="24"/>
          <w:szCs w:val="24"/>
          <w:shd w:val="clear" w:color="auto" w:fill="FFFFFF"/>
          <w:lang w:eastAsia="zh-CN"/>
        </w:rPr>
        <w:t>；</w:t>
      </w:r>
      <w:r>
        <w:rPr>
          <w:rFonts w:ascii="Times New Roman" w:hAnsi="Times New Roman" w:eastAsia="华文仿宋"/>
          <w:sz w:val="24"/>
          <w:szCs w:val="24"/>
          <w:shd w:val="clear" w:color="auto" w:fill="FFFFFF"/>
        </w:rPr>
        <w:t>被</w:t>
      </w:r>
      <w:r>
        <w:rPr>
          <w:rFonts w:hint="eastAsia" w:ascii="Times New Roman" w:hAnsi="Times New Roman" w:eastAsia="华文仿宋"/>
          <w:sz w:val="24"/>
          <w:szCs w:val="24"/>
          <w:shd w:val="clear" w:color="auto" w:fill="FFFFFF"/>
          <w:lang w:eastAsia="zh-CN"/>
        </w:rPr>
        <w:t>确定</w:t>
      </w:r>
      <w:r>
        <w:rPr>
          <w:rFonts w:ascii="Times New Roman" w:hAnsi="Times New Roman" w:eastAsia="华文仿宋"/>
          <w:sz w:val="24"/>
          <w:szCs w:val="24"/>
          <w:shd w:val="clear" w:color="auto" w:fill="FFFFFF"/>
        </w:rPr>
        <w:t>为高风险</w:t>
      </w:r>
      <w:r>
        <w:rPr>
          <w:rFonts w:hint="eastAsia" w:ascii="Times New Roman" w:hAnsi="Times New Roman" w:eastAsia="华文仿宋"/>
          <w:sz w:val="24"/>
          <w:szCs w:val="24"/>
          <w:shd w:val="clear" w:color="auto" w:fill="FFFFFF"/>
          <w:lang w:eastAsia="zh-CN"/>
        </w:rPr>
        <w:t>认证</w:t>
      </w:r>
      <w:r>
        <w:rPr>
          <w:rFonts w:ascii="Times New Roman" w:hAnsi="Times New Roman" w:eastAsia="华文仿宋"/>
          <w:sz w:val="24"/>
          <w:szCs w:val="24"/>
          <w:shd w:val="clear" w:color="auto" w:fill="FFFFFF"/>
        </w:rPr>
        <w:t>业务</w:t>
      </w:r>
      <w:r>
        <w:rPr>
          <w:rFonts w:hint="eastAsia" w:ascii="Times New Roman" w:hAnsi="Times New Roman" w:eastAsia="华文仿宋"/>
          <w:sz w:val="24"/>
          <w:szCs w:val="24"/>
          <w:shd w:val="clear" w:color="auto" w:fill="FFFFFF"/>
          <w:lang w:eastAsia="zh-CN"/>
        </w:rPr>
        <w:t>类别的，认证审核活动应在按照</w:t>
      </w:r>
      <w:r>
        <w:rPr>
          <w:rFonts w:ascii="Times New Roman" w:hAnsi="Times New Roman" w:eastAsia="华文仿宋"/>
          <w:sz w:val="24"/>
          <w:szCs w:val="24"/>
          <w:shd w:val="clear" w:color="auto" w:fill="FFFFFF"/>
        </w:rPr>
        <w:t>附录B</w:t>
      </w:r>
      <w:r>
        <w:rPr>
          <w:rFonts w:hint="eastAsia" w:ascii="Times New Roman" w:hAnsi="Times New Roman" w:eastAsia="华文仿宋"/>
          <w:sz w:val="24"/>
          <w:szCs w:val="24"/>
          <w:shd w:val="clear" w:color="auto" w:fill="FFFFFF"/>
          <w:lang w:eastAsia="zh-CN"/>
        </w:rPr>
        <w:t>计算所得审核时间的</w:t>
      </w:r>
      <w:r>
        <w:rPr>
          <w:rFonts w:ascii="Times New Roman" w:hAnsi="Times New Roman" w:eastAsia="华文仿宋"/>
          <w:sz w:val="24"/>
          <w:szCs w:val="24"/>
          <w:shd w:val="clear" w:color="auto" w:fill="FFFFFF"/>
        </w:rPr>
        <w:t>基础上</w:t>
      </w:r>
      <w:r>
        <w:rPr>
          <w:rFonts w:hint="eastAsia" w:ascii="Times New Roman" w:hAnsi="Times New Roman" w:eastAsia="华文仿宋"/>
          <w:sz w:val="24"/>
          <w:szCs w:val="24"/>
          <w:shd w:val="clear" w:color="auto" w:fill="FFFFFF"/>
          <w:lang w:val="en-US" w:eastAsia="zh-CN"/>
        </w:rPr>
        <w:t>，</w:t>
      </w:r>
      <w:r>
        <w:rPr>
          <w:rFonts w:ascii="Times New Roman" w:hAnsi="Times New Roman" w:eastAsia="华文仿宋"/>
          <w:sz w:val="24"/>
          <w:szCs w:val="24"/>
          <w:shd w:val="clear" w:color="auto" w:fill="FFFFFF"/>
        </w:rPr>
        <w:t>至少增加10%</w:t>
      </w:r>
      <w:r>
        <w:rPr>
          <w:rFonts w:hint="eastAsia" w:ascii="Times New Roman" w:hAnsi="Times New Roman" w:eastAsia="华文仿宋"/>
          <w:sz w:val="24"/>
          <w:szCs w:val="24"/>
          <w:shd w:val="clear" w:color="auto" w:fill="FFFFFF"/>
          <w:lang w:eastAsia="zh-CN"/>
        </w:rPr>
        <w:t>。</w:t>
      </w:r>
    </w:p>
    <w:p>
      <w:pPr>
        <w:spacing w:line="240" w:lineRule="auto"/>
        <w:ind w:firstLine="0" w:firstLineChars="0"/>
        <w:rPr>
          <w:rFonts w:hint="eastAsia" w:ascii="黑体" w:hAnsi="黑体" w:eastAsia="黑体" w:cs="黑体"/>
          <w:b/>
          <w:bCs/>
          <w:sz w:val="32"/>
          <w:szCs w:val="32"/>
        </w:rPr>
      </w:pPr>
      <w:r>
        <w:rPr>
          <w:rFonts w:ascii="Times New Roman" w:hAnsi="Times New Roman" w:eastAsia="华文仿宋"/>
          <w:b/>
          <w:bCs/>
          <w:sz w:val="28"/>
          <w:szCs w:val="28"/>
          <w:shd w:val="clear" w:color="auto" w:fill="FFFFFF"/>
        </w:rPr>
        <w:br w:type="page"/>
      </w:r>
      <w:r>
        <w:rPr>
          <w:rFonts w:hint="eastAsia" w:ascii="黑体" w:hAnsi="黑体" w:eastAsia="黑体" w:cs="黑体"/>
          <w:b w:val="0"/>
          <w:bCs w:val="0"/>
          <w:sz w:val="32"/>
          <w:szCs w:val="32"/>
        </w:rPr>
        <w:t>附录C</w:t>
      </w:r>
    </w:p>
    <w:p>
      <w:pPr>
        <w:autoSpaceDE w:val="0"/>
        <w:autoSpaceDN w:val="0"/>
        <w:adjustRightInd w:val="0"/>
        <w:snapToGrid w:val="0"/>
        <w:spacing w:line="480" w:lineRule="exact"/>
        <w:ind w:left="0" w:leftChars="0" w:firstLine="0" w:firstLineChars="0"/>
        <w:outlineLvl w:val="0"/>
        <w:rPr>
          <w:rFonts w:ascii="Times New Roman" w:hAnsi="Times New Roman" w:eastAsia="方正小标宋简体"/>
          <w:sz w:val="36"/>
          <w:szCs w:val="36"/>
        </w:rPr>
      </w:pPr>
    </w:p>
    <w:p>
      <w:pPr>
        <w:autoSpaceDE w:val="0"/>
        <w:autoSpaceDN w:val="0"/>
        <w:adjustRightInd w:val="0"/>
        <w:snapToGrid w:val="0"/>
        <w:spacing w:line="580" w:lineRule="exact"/>
        <w:ind w:left="0" w:firstLine="0" w:firstLineChars="0"/>
        <w:jc w:val="center"/>
        <w:outlineLvl w:val="0"/>
        <w:rPr>
          <w:rFonts w:ascii="Times New Roman" w:hAnsi="Times New Roman" w:eastAsia="方正小标宋简体"/>
          <w:sz w:val="44"/>
          <w:szCs w:val="44"/>
        </w:rPr>
      </w:pPr>
      <w:bookmarkStart w:id="246" w:name="_Toc497"/>
      <w:bookmarkStart w:id="247" w:name="_Toc3725"/>
      <w:bookmarkStart w:id="248" w:name="_Toc11016"/>
      <w:bookmarkStart w:id="249" w:name="_Toc26910"/>
      <w:r>
        <w:rPr>
          <w:rFonts w:ascii="Times New Roman" w:hAnsi="Times New Roman" w:eastAsia="方正小标宋简体"/>
          <w:sz w:val="44"/>
          <w:szCs w:val="44"/>
        </w:rPr>
        <w:t>QMS认证证书编号规则</w:t>
      </w:r>
      <w:bookmarkEnd w:id="246"/>
      <w:bookmarkEnd w:id="247"/>
      <w:bookmarkEnd w:id="248"/>
      <w:bookmarkEnd w:id="249"/>
    </w:p>
    <w:p>
      <w:pPr>
        <w:shd w:val="clear" w:color="auto" w:fill="FFFFFF"/>
        <w:autoSpaceDN w:val="0"/>
        <w:adjustRightInd w:val="0"/>
        <w:spacing w:line="480" w:lineRule="exact"/>
        <w:rPr>
          <w:rFonts w:ascii="Times New Roman" w:hAnsi="Times New Roman" w:eastAsia="华文仿宋"/>
          <w:b/>
          <w:bCs/>
          <w:sz w:val="28"/>
          <w:szCs w:val="28"/>
          <w:shd w:val="clear" w:color="auto" w:fill="FFFFFF"/>
        </w:rPr>
      </w:pPr>
    </w:p>
    <w:p>
      <w:pPr>
        <w:shd w:val="clear" w:color="auto" w:fill="FFFFFF"/>
        <w:autoSpaceDN w:val="0"/>
        <w:adjustRightInd w:val="0"/>
        <w:spacing w:line="480" w:lineRule="exact"/>
        <w:ind w:firstLine="560" w:firstLineChars="200"/>
        <w:rPr>
          <w:rFonts w:hint="eastAsia" w:ascii="仿宋_GB2312" w:hAnsi="仿宋_GB2312" w:eastAsia="仿宋_GB2312"/>
          <w:sz w:val="28"/>
          <w:szCs w:val="28"/>
          <w:shd w:val="clear" w:color="auto" w:fill="FFFFFF"/>
        </w:rPr>
      </w:pPr>
      <w:r>
        <w:rPr>
          <w:rFonts w:hint="default" w:ascii="Times New Roman" w:hAnsi="Times New Roman" w:eastAsia="仿宋_GB2312" w:cs="Times New Roman"/>
          <w:sz w:val="28"/>
          <w:szCs w:val="28"/>
          <w:shd w:val="clear" w:color="auto" w:fill="FFFFFF"/>
        </w:rPr>
        <w:t>C.1 QMS认证证书编号由认证机构</w:t>
      </w:r>
      <w:r>
        <w:rPr>
          <w:rFonts w:hint="eastAsia" w:ascii="Times New Roman" w:hAnsi="Times New Roman" w:cs="Times New Roman"/>
          <w:sz w:val="28"/>
          <w:szCs w:val="28"/>
          <w:shd w:val="clear" w:color="auto" w:fill="FFFFFF"/>
          <w:lang w:val="en-US" w:eastAsia="zh-CN"/>
        </w:rPr>
        <w:t>代码</w:t>
      </w:r>
      <w:r>
        <w:rPr>
          <w:rFonts w:hint="default" w:ascii="Times New Roman" w:hAnsi="Times New Roman" w:eastAsia="仿宋_GB2312" w:cs="Times New Roman"/>
          <w:sz w:val="28"/>
          <w:szCs w:val="28"/>
          <w:shd w:val="clear" w:color="auto" w:fill="FFFFFF"/>
        </w:rPr>
        <w:t>、</w:t>
      </w:r>
      <w:r>
        <w:rPr>
          <w:rFonts w:hint="default" w:ascii="Times New Roman" w:hAnsi="Times New Roman" w:cs="Times New Roman"/>
          <w:sz w:val="28"/>
          <w:szCs w:val="28"/>
          <w:shd w:val="clear" w:color="auto" w:fill="FFFFFF"/>
          <w:lang w:val="en-US" w:eastAsia="zh-CN"/>
        </w:rPr>
        <w:t>发</w:t>
      </w:r>
      <w:r>
        <w:rPr>
          <w:rFonts w:hint="default" w:ascii="Times New Roman" w:hAnsi="Times New Roman" w:eastAsia="仿宋_GB2312" w:cs="Times New Roman"/>
          <w:sz w:val="28"/>
          <w:szCs w:val="28"/>
          <w:shd w:val="clear" w:color="auto" w:fill="FFFFFF"/>
        </w:rPr>
        <w:t>证年份号、QMS</w:t>
      </w:r>
      <w:r>
        <w:rPr>
          <w:rFonts w:hint="default" w:ascii="Times New Roman" w:hAnsi="Times New Roman" w:cs="Times New Roman"/>
          <w:sz w:val="28"/>
          <w:szCs w:val="28"/>
          <w:shd w:val="clear" w:color="auto" w:fill="FFFFFF"/>
          <w:lang w:val="en-US" w:eastAsia="zh-CN"/>
        </w:rPr>
        <w:t>简</w:t>
      </w:r>
      <w:r>
        <w:rPr>
          <w:rFonts w:hint="default" w:ascii="Times New Roman" w:hAnsi="Times New Roman" w:eastAsia="仿宋_GB2312" w:cs="Times New Roman"/>
          <w:sz w:val="28"/>
          <w:szCs w:val="28"/>
          <w:shd w:val="clear" w:color="auto" w:fill="FFFFFF"/>
        </w:rPr>
        <w:t>写、顺序号、认证周期、认可</w:t>
      </w:r>
      <w:r>
        <w:rPr>
          <w:rFonts w:hint="eastAsia" w:ascii="Times New Roman" w:hAnsi="Times New Roman" w:cs="Times New Roman"/>
          <w:sz w:val="28"/>
          <w:szCs w:val="28"/>
          <w:shd w:val="clear" w:color="auto" w:fill="FFFFFF"/>
          <w:lang w:val="en-US" w:eastAsia="zh-CN"/>
        </w:rPr>
        <w:t>机构代码</w:t>
      </w:r>
      <w:r>
        <w:rPr>
          <w:rFonts w:hint="eastAsia" w:ascii="仿宋_GB2312" w:hAnsi="仿宋_GB2312" w:eastAsia="仿宋_GB2312"/>
          <w:sz w:val="28"/>
          <w:szCs w:val="28"/>
          <w:shd w:val="clear" w:color="auto" w:fill="FFFFFF"/>
        </w:rPr>
        <w:t>和子证书号构成，格式如下：</w:t>
      </w:r>
    </w:p>
    <w:tbl>
      <w:tblPr>
        <w:tblStyle w:val="14"/>
        <w:tblW w:w="5045" w:type="pct"/>
        <w:jc w:val="center"/>
        <w:tblLayout w:type="autofit"/>
        <w:tblCellMar>
          <w:top w:w="0" w:type="dxa"/>
          <w:left w:w="0" w:type="dxa"/>
          <w:bottom w:w="0" w:type="dxa"/>
          <w:right w:w="0" w:type="dxa"/>
        </w:tblCellMar>
      </w:tblPr>
      <w:tblGrid>
        <w:gridCol w:w="1308"/>
        <w:gridCol w:w="1422"/>
        <w:gridCol w:w="1470"/>
        <w:gridCol w:w="1118"/>
        <w:gridCol w:w="1422"/>
        <w:gridCol w:w="2299"/>
      </w:tblGrid>
      <w:tr>
        <w:tblPrEx>
          <w:tblCellMar>
            <w:top w:w="0" w:type="dxa"/>
            <w:left w:w="0" w:type="dxa"/>
            <w:bottom w:w="0" w:type="dxa"/>
            <w:right w:w="0" w:type="dxa"/>
          </w:tblCellMar>
        </w:tblPrEx>
        <w:trPr>
          <w:trHeight w:val="290" w:hRule="atLeast"/>
          <w:jc w:val="center"/>
        </w:trPr>
        <w:tc>
          <w:tcPr>
            <w:tcW w:w="724" w:type="pct"/>
            <w:vAlign w:val="center"/>
          </w:tcPr>
          <w:p>
            <w:pPr>
              <w:autoSpaceDE w:val="0"/>
              <w:autoSpaceDN w:val="0"/>
              <w:spacing w:line="440" w:lineRule="exact"/>
              <w:ind w:left="32" w:leftChars="0" w:right="-143" w:hanging="32" w:hangingChars="16"/>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kern w:val="0"/>
                <w:sz w:val="20"/>
                <w:szCs w:val="20"/>
                <w:lang w:eastAsia="en-US"/>
              </w:rPr>
              <w:t>XXXX</w:t>
            </w:r>
          </w:p>
        </w:tc>
        <w:tc>
          <w:tcPr>
            <w:tcW w:w="786" w:type="pct"/>
            <w:vAlign w:val="center"/>
          </w:tcPr>
          <w:p>
            <w:pPr>
              <w:autoSpaceDE w:val="0"/>
              <w:autoSpaceDN w:val="0"/>
              <w:spacing w:line="440" w:lineRule="exact"/>
              <w:ind w:left="74" w:leftChars="0" w:right="130" w:hanging="74" w:hangingChars="37"/>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kern w:val="0"/>
                <w:sz w:val="20"/>
                <w:szCs w:val="20"/>
                <w:lang w:eastAsia="en-US"/>
              </w:rPr>
              <w:t>XX</w:t>
            </w:r>
          </w:p>
        </w:tc>
        <w:tc>
          <w:tcPr>
            <w:tcW w:w="813" w:type="pct"/>
            <w:vAlign w:val="center"/>
          </w:tcPr>
          <w:p>
            <w:pPr>
              <w:autoSpaceDE w:val="0"/>
              <w:autoSpaceDN w:val="0"/>
              <w:spacing w:line="440" w:lineRule="exact"/>
              <w:ind w:left="0" w:leftChars="0" w:right="129" w:firstLine="0" w:firstLineChars="0"/>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kern w:val="0"/>
                <w:sz w:val="20"/>
                <w:szCs w:val="20"/>
                <w:lang w:eastAsia="en-US"/>
              </w:rPr>
              <w:t>Q</w:t>
            </w:r>
          </w:p>
        </w:tc>
        <w:tc>
          <w:tcPr>
            <w:tcW w:w="618" w:type="pct"/>
            <w:vAlign w:val="center"/>
          </w:tcPr>
          <w:p>
            <w:pPr>
              <w:autoSpaceDE w:val="0"/>
              <w:autoSpaceDN w:val="0"/>
              <w:spacing w:line="440" w:lineRule="exact"/>
              <w:ind w:left="0" w:leftChars="0" w:firstLine="0" w:firstLineChars="0"/>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kern w:val="0"/>
                <w:sz w:val="20"/>
                <w:szCs w:val="20"/>
                <w:lang w:eastAsia="en-US"/>
              </w:rPr>
              <w:t>XXXXX</w:t>
            </w:r>
          </w:p>
        </w:tc>
        <w:tc>
          <w:tcPr>
            <w:tcW w:w="786" w:type="pct"/>
            <w:vAlign w:val="center"/>
          </w:tcPr>
          <w:p>
            <w:pPr>
              <w:autoSpaceDE w:val="0"/>
              <w:autoSpaceDN w:val="0"/>
              <w:spacing w:line="440" w:lineRule="exact"/>
              <w:ind w:left="0" w:leftChars="0" w:right="-11" w:firstLine="0" w:firstLineChars="0"/>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spacing w:val="-20"/>
                <w:kern w:val="0"/>
                <w:sz w:val="20"/>
                <w:szCs w:val="20"/>
                <w:lang w:eastAsia="en-US"/>
              </w:rPr>
              <w:t>R0</w:t>
            </w:r>
            <w:r>
              <w:rPr>
                <w:rFonts w:hint="default" w:ascii="Times New Roman" w:hAnsi="Times New Roman" w:eastAsia="仿宋_GB2312" w:cs="Times New Roman"/>
                <w:kern w:val="0"/>
                <w:sz w:val="20"/>
                <w:szCs w:val="20"/>
              </w:rPr>
              <w:t>（</w:t>
            </w:r>
            <w:r>
              <w:rPr>
                <w:rFonts w:hint="default" w:ascii="Times New Roman" w:hAnsi="Times New Roman" w:eastAsia="仿宋_GB2312" w:cs="Times New Roman"/>
                <w:spacing w:val="-20"/>
                <w:kern w:val="0"/>
                <w:sz w:val="20"/>
                <w:szCs w:val="20"/>
                <w:lang w:eastAsia="en-US"/>
              </w:rPr>
              <w:t>1</w:t>
            </w:r>
            <w:r>
              <w:rPr>
                <w:rFonts w:hint="default" w:ascii="Times New Roman" w:hAnsi="Times New Roman" w:eastAsia="仿宋_GB2312" w:cs="Times New Roman"/>
                <w:spacing w:val="-41"/>
                <w:kern w:val="0"/>
                <w:sz w:val="20"/>
                <w:szCs w:val="20"/>
                <w:lang w:eastAsia="en-US"/>
              </w:rPr>
              <w:t>、</w:t>
            </w:r>
            <w:r>
              <w:rPr>
                <w:rFonts w:hint="default" w:ascii="Times New Roman" w:hAnsi="Times New Roman" w:eastAsia="仿宋_GB2312" w:cs="Times New Roman"/>
                <w:spacing w:val="-20"/>
                <w:kern w:val="0"/>
                <w:sz w:val="20"/>
                <w:szCs w:val="20"/>
                <w:lang w:eastAsia="en-US"/>
              </w:rPr>
              <w:t>2</w:t>
            </w:r>
            <w:r>
              <w:rPr>
                <w:rFonts w:hint="default" w:ascii="Times New Roman" w:hAnsi="Times New Roman" w:eastAsia="仿宋_GB2312" w:cs="Times New Roman"/>
                <w:spacing w:val="-42"/>
                <w:kern w:val="0"/>
                <w:sz w:val="20"/>
                <w:szCs w:val="20"/>
                <w:lang w:eastAsia="en-US"/>
              </w:rPr>
              <w:t>、</w:t>
            </w:r>
            <w:r>
              <w:rPr>
                <w:rFonts w:hint="default" w:ascii="Times New Roman" w:hAnsi="Times New Roman" w:eastAsia="仿宋_GB2312" w:cs="Times New Roman"/>
                <w:spacing w:val="-11"/>
                <w:kern w:val="0"/>
                <w:sz w:val="20"/>
                <w:szCs w:val="20"/>
                <w:lang w:eastAsia="en-US"/>
              </w:rPr>
              <w:t>⋯</w:t>
            </w:r>
            <w:r>
              <w:rPr>
                <w:rFonts w:hint="default" w:ascii="Times New Roman" w:hAnsi="Times New Roman" w:eastAsia="仿宋_GB2312" w:cs="Times New Roman"/>
                <w:kern w:val="0"/>
                <w:sz w:val="20"/>
                <w:szCs w:val="20"/>
              </w:rPr>
              <w:t>）</w:t>
            </w:r>
          </w:p>
        </w:tc>
        <w:tc>
          <w:tcPr>
            <w:tcW w:w="1271" w:type="pct"/>
            <w:vAlign w:val="center"/>
          </w:tcPr>
          <w:p>
            <w:pPr>
              <w:tabs>
                <w:tab w:val="left" w:pos="1079"/>
              </w:tabs>
              <w:autoSpaceDE w:val="0"/>
              <w:autoSpaceDN w:val="0"/>
              <w:spacing w:line="440" w:lineRule="exact"/>
              <w:ind w:left="0" w:leftChars="0" w:right="6" w:firstLine="0" w:firstLineChars="0"/>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spacing w:val="-18"/>
                <w:kern w:val="0"/>
                <w:sz w:val="20"/>
                <w:szCs w:val="20"/>
                <w:lang w:eastAsia="en-US"/>
              </w:rPr>
              <w:t>XX</w:t>
            </w:r>
            <w:r>
              <w:rPr>
                <w:rFonts w:hint="default" w:ascii="Times New Roman" w:hAnsi="Times New Roman" w:eastAsia="仿宋_GB2312" w:cs="Times New Roman"/>
                <w:spacing w:val="-18"/>
                <w:kern w:val="0"/>
                <w:sz w:val="20"/>
                <w:szCs w:val="20"/>
                <w:lang w:eastAsia="en-US"/>
              </w:rPr>
              <w:tab/>
            </w:r>
            <w:r>
              <w:rPr>
                <w:rFonts w:hint="default" w:ascii="Times New Roman" w:hAnsi="Times New Roman" w:eastAsia="仿宋_GB2312" w:cs="Times New Roman"/>
                <w:spacing w:val="-11"/>
                <w:kern w:val="0"/>
                <w:sz w:val="20"/>
                <w:szCs w:val="20"/>
                <w:lang w:eastAsia="en-US"/>
              </w:rPr>
              <w:t>-X</w:t>
            </w:r>
          </w:p>
        </w:tc>
      </w:tr>
      <w:tr>
        <w:tblPrEx>
          <w:tblCellMar>
            <w:top w:w="0" w:type="dxa"/>
            <w:left w:w="0" w:type="dxa"/>
            <w:bottom w:w="0" w:type="dxa"/>
            <w:right w:w="0" w:type="dxa"/>
          </w:tblCellMar>
        </w:tblPrEx>
        <w:trPr>
          <w:trHeight w:val="0" w:hRule="atLeast"/>
          <w:jc w:val="center"/>
        </w:trPr>
        <w:tc>
          <w:tcPr>
            <w:tcW w:w="724" w:type="pct"/>
            <w:vAlign w:val="center"/>
          </w:tcPr>
          <w:p>
            <w:pPr>
              <w:autoSpaceDE w:val="0"/>
              <w:autoSpaceDN w:val="0"/>
              <w:spacing w:line="280" w:lineRule="exact"/>
              <w:ind w:left="32" w:leftChars="0" w:right="-147" w:hanging="32" w:hangingChars="16"/>
              <w:jc w:val="center"/>
              <w:rPr>
                <w:rFonts w:hint="eastAsia" w:ascii="Times New Roman" w:hAnsi="Times New Roman" w:cs="Times New Roman"/>
                <w:kern w:val="0"/>
                <w:sz w:val="20"/>
                <w:szCs w:val="20"/>
                <w:lang w:val="en-US" w:eastAsia="zh-CN"/>
              </w:rPr>
            </w:pPr>
            <w:r>
              <w:rPr>
                <w:rFonts w:hint="eastAsia" w:ascii="Times New Roman" w:hAnsi="Times New Roman" w:cs="Times New Roman"/>
                <w:kern w:val="0"/>
                <w:sz w:val="20"/>
                <w:szCs w:val="20"/>
                <w:lang w:val="en-US" w:eastAsia="zh-CN"/>
              </w:rPr>
              <w:t>认证机构</w:t>
            </w:r>
          </w:p>
          <w:p>
            <w:pPr>
              <w:autoSpaceDE w:val="0"/>
              <w:autoSpaceDN w:val="0"/>
              <w:spacing w:line="280" w:lineRule="exact"/>
              <w:ind w:left="32" w:leftChars="0" w:right="-147" w:hanging="32" w:hangingChars="16"/>
              <w:jc w:val="center"/>
              <w:rPr>
                <w:rFonts w:hint="default" w:ascii="Times New Roman" w:hAnsi="Times New Roman" w:eastAsia="仿宋_GB2312" w:cs="Times New Roman"/>
                <w:kern w:val="0"/>
                <w:sz w:val="20"/>
                <w:szCs w:val="20"/>
                <w:lang w:eastAsia="zh-CN"/>
              </w:rPr>
            </w:pPr>
            <w:r>
              <w:rPr>
                <w:rFonts w:hint="eastAsia" w:ascii="Times New Roman" w:hAnsi="Times New Roman" w:cs="Times New Roman"/>
                <w:kern w:val="0"/>
                <w:sz w:val="20"/>
                <w:szCs w:val="20"/>
                <w:lang w:val="en-US" w:eastAsia="zh-CN"/>
              </w:rPr>
              <w:t>代码</w:t>
            </w:r>
          </w:p>
        </w:tc>
        <w:tc>
          <w:tcPr>
            <w:tcW w:w="786" w:type="pct"/>
            <w:vAlign w:val="center"/>
          </w:tcPr>
          <w:p>
            <w:pPr>
              <w:autoSpaceDE w:val="0"/>
              <w:autoSpaceDN w:val="0"/>
              <w:spacing w:line="440" w:lineRule="exact"/>
              <w:ind w:left="74" w:leftChars="0" w:right="-37" w:hanging="74" w:hangingChars="37"/>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kern w:val="0"/>
                <w:sz w:val="20"/>
                <w:szCs w:val="20"/>
                <w:lang w:eastAsia="en-US"/>
              </w:rPr>
              <w:t>发证年</w:t>
            </w:r>
            <w:r>
              <w:rPr>
                <w:rFonts w:hint="eastAsia" w:ascii="Times New Roman" w:hAnsi="Times New Roman" w:cs="Times New Roman"/>
                <w:kern w:val="0"/>
                <w:sz w:val="20"/>
                <w:szCs w:val="20"/>
                <w:lang w:val="en-US" w:eastAsia="zh-CN"/>
              </w:rPr>
              <w:t>份</w:t>
            </w:r>
            <w:r>
              <w:rPr>
                <w:rFonts w:hint="default" w:ascii="Times New Roman" w:hAnsi="Times New Roman" w:eastAsia="仿宋_GB2312" w:cs="Times New Roman"/>
                <w:kern w:val="0"/>
                <w:sz w:val="20"/>
                <w:szCs w:val="20"/>
                <w:lang w:eastAsia="en-US"/>
              </w:rPr>
              <w:t>号</w:t>
            </w:r>
          </w:p>
        </w:tc>
        <w:tc>
          <w:tcPr>
            <w:tcW w:w="813" w:type="pct"/>
            <w:vAlign w:val="center"/>
          </w:tcPr>
          <w:p>
            <w:pPr>
              <w:autoSpaceDE w:val="0"/>
              <w:autoSpaceDN w:val="0"/>
              <w:spacing w:line="440" w:lineRule="exact"/>
              <w:ind w:left="0" w:leftChars="0" w:right="129" w:firstLine="0" w:firstLineChars="0"/>
              <w:jc w:val="center"/>
              <w:rPr>
                <w:rFonts w:hint="default" w:ascii="Times New Roman" w:hAnsi="Times New Roman" w:eastAsia="仿宋_GB2312" w:cs="Times New Roman"/>
                <w:kern w:val="0"/>
                <w:sz w:val="20"/>
                <w:szCs w:val="20"/>
                <w:lang w:eastAsia="en-US"/>
              </w:rPr>
            </w:pPr>
            <w:r>
              <w:rPr>
                <w:rFonts w:hint="default" w:ascii="Times New Roman" w:hAnsi="Times New Roman" w:cs="Times New Roman"/>
                <w:kern w:val="0"/>
                <w:sz w:val="20"/>
                <w:szCs w:val="20"/>
                <w:lang w:val="en-US" w:eastAsia="zh-CN"/>
              </w:rPr>
              <w:t>QMS简</w:t>
            </w:r>
            <w:r>
              <w:rPr>
                <w:rFonts w:hint="default" w:ascii="Times New Roman" w:hAnsi="Times New Roman" w:eastAsia="仿宋_GB2312" w:cs="Times New Roman"/>
                <w:kern w:val="0"/>
                <w:sz w:val="20"/>
                <w:szCs w:val="20"/>
                <w:lang w:eastAsia="en-US"/>
              </w:rPr>
              <w:t>写</w:t>
            </w:r>
          </w:p>
        </w:tc>
        <w:tc>
          <w:tcPr>
            <w:tcW w:w="618" w:type="pct"/>
            <w:vAlign w:val="center"/>
          </w:tcPr>
          <w:p>
            <w:pPr>
              <w:autoSpaceDE w:val="0"/>
              <w:autoSpaceDN w:val="0"/>
              <w:spacing w:line="440" w:lineRule="exact"/>
              <w:ind w:left="0" w:leftChars="0" w:firstLine="0" w:firstLineChars="0"/>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kern w:val="0"/>
                <w:sz w:val="20"/>
                <w:szCs w:val="20"/>
                <w:lang w:eastAsia="en-US"/>
              </w:rPr>
              <w:t>顺序号</w:t>
            </w:r>
          </w:p>
        </w:tc>
        <w:tc>
          <w:tcPr>
            <w:tcW w:w="786" w:type="pct"/>
            <w:vAlign w:val="center"/>
          </w:tcPr>
          <w:p>
            <w:pPr>
              <w:autoSpaceDE w:val="0"/>
              <w:autoSpaceDN w:val="0"/>
              <w:spacing w:line="440" w:lineRule="exact"/>
              <w:ind w:left="0" w:leftChars="0" w:right="-11" w:firstLine="0" w:firstLineChars="0"/>
              <w:jc w:val="center"/>
              <w:rPr>
                <w:rFonts w:hint="default" w:ascii="Times New Roman" w:hAnsi="Times New Roman" w:eastAsia="仿宋_GB2312" w:cs="Times New Roman"/>
                <w:kern w:val="0"/>
                <w:sz w:val="20"/>
                <w:szCs w:val="20"/>
                <w:lang w:eastAsia="en-US"/>
              </w:rPr>
            </w:pPr>
            <w:r>
              <w:rPr>
                <w:rFonts w:hint="default" w:ascii="Times New Roman" w:hAnsi="Times New Roman" w:eastAsia="仿宋_GB2312" w:cs="Times New Roman"/>
                <w:kern w:val="0"/>
                <w:sz w:val="20"/>
                <w:szCs w:val="20"/>
                <w:lang w:eastAsia="en-US"/>
              </w:rPr>
              <w:t>认证</w:t>
            </w:r>
            <w:r>
              <w:rPr>
                <w:rFonts w:hint="default" w:ascii="Times New Roman" w:hAnsi="Times New Roman" w:eastAsia="仿宋_GB2312" w:cs="Times New Roman"/>
                <w:kern w:val="0"/>
                <w:sz w:val="20"/>
                <w:szCs w:val="20"/>
              </w:rPr>
              <w:t>周期</w:t>
            </w:r>
          </w:p>
        </w:tc>
        <w:tc>
          <w:tcPr>
            <w:tcW w:w="1271" w:type="pct"/>
            <w:vAlign w:val="center"/>
          </w:tcPr>
          <w:p>
            <w:pPr>
              <w:autoSpaceDE w:val="0"/>
              <w:autoSpaceDN w:val="0"/>
              <w:spacing w:line="440" w:lineRule="exact"/>
              <w:ind w:left="0" w:leftChars="0" w:right="6" w:firstLine="0" w:firstLineChars="0"/>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spacing w:val="-28"/>
                <w:kern w:val="0"/>
                <w:sz w:val="20"/>
                <w:szCs w:val="20"/>
              </w:rPr>
              <w:t>认可</w:t>
            </w:r>
            <w:r>
              <w:rPr>
                <w:rFonts w:hint="eastAsia" w:ascii="Times New Roman" w:hAnsi="Times New Roman" w:cs="Times New Roman"/>
                <w:spacing w:val="-28"/>
                <w:kern w:val="0"/>
                <w:sz w:val="20"/>
                <w:szCs w:val="20"/>
                <w:lang w:val="en-US" w:eastAsia="zh-CN"/>
              </w:rPr>
              <w:t>机构代码</w:t>
            </w:r>
            <w:r>
              <w:rPr>
                <w:rFonts w:hint="default" w:ascii="Times New Roman" w:hAnsi="Times New Roman" w:eastAsia="仿宋_GB2312" w:cs="Times New Roman"/>
                <w:spacing w:val="-28"/>
                <w:kern w:val="0"/>
                <w:sz w:val="20"/>
                <w:szCs w:val="20"/>
                <w:lang w:val="en-US" w:eastAsia="zh-CN"/>
              </w:rPr>
              <w:t xml:space="preserve">       </w:t>
            </w:r>
            <w:r>
              <w:rPr>
                <w:rFonts w:hint="default" w:ascii="Times New Roman" w:hAnsi="Times New Roman" w:eastAsia="仿宋_GB2312" w:cs="Times New Roman"/>
                <w:spacing w:val="-28"/>
                <w:kern w:val="0"/>
                <w:sz w:val="20"/>
                <w:szCs w:val="20"/>
              </w:rPr>
              <w:t>子证书号</w:t>
            </w:r>
          </w:p>
        </w:tc>
      </w:tr>
    </w:tbl>
    <w:p>
      <w:pPr>
        <w:shd w:val="clear" w:color="auto" w:fill="FFFFFF"/>
        <w:autoSpaceDN w:val="0"/>
        <w:adjustRightInd w:val="0"/>
        <w:spacing w:line="320" w:lineRule="exact"/>
        <w:ind w:firstLine="640" w:firstLineChars="200"/>
        <w:rPr>
          <w:rFonts w:hint="default" w:ascii="Times New Roman" w:hAnsi="Times New Roman" w:eastAsia="仿宋_GB2312" w:cs="Times New Roman"/>
          <w:sz w:val="24"/>
          <w:szCs w:val="24"/>
          <w:shd w:val="clear" w:color="auto" w:fill="FFFFFF"/>
        </w:rPr>
      </w:pPr>
      <w:r>
        <w:rPr>
          <w:rFonts w:hint="default" w:ascii="Times New Roman" w:hAnsi="Times New Roman" w:eastAsia="仿宋_GB2312" w:cs="Times New Roman"/>
          <w:kern w:val="0"/>
          <w:szCs w:val="21"/>
          <w:lang w:eastAsia="en-US"/>
        </w:rPr>
        <mc:AlternateContent>
          <mc:Choice Requires="wpg">
            <w:drawing>
              <wp:anchor distT="0" distB="0" distL="114300" distR="114300" simplePos="0" relativeHeight="251660288" behindDoc="0" locked="0" layoutInCell="1" allowOverlap="1">
                <wp:simplePos x="0" y="0"/>
                <wp:positionH relativeFrom="column">
                  <wp:posOffset>-19685</wp:posOffset>
                </wp:positionH>
                <wp:positionV relativeFrom="paragraph">
                  <wp:posOffset>85725</wp:posOffset>
                </wp:positionV>
                <wp:extent cx="5806440" cy="5397500"/>
                <wp:effectExtent l="0" t="0" r="10160" b="0"/>
                <wp:wrapTopAndBottom/>
                <wp:docPr id="1" name="组合 15"/>
                <wp:cNvGraphicFramePr/>
                <a:graphic xmlns:a="http://schemas.openxmlformats.org/drawingml/2006/main">
                  <a:graphicData uri="http://schemas.microsoft.com/office/word/2010/wordprocessingGroup">
                    <wpg:wgp>
                      <wpg:cNvGrpSpPr>
                        <a:grpSpLocks noRot="1"/>
                      </wpg:cNvGrpSpPr>
                      <wpg:grpSpPr>
                        <a:xfrm>
                          <a:off x="0" y="0"/>
                          <a:ext cx="5806440" cy="5397500"/>
                          <a:chOff x="0" y="-11430"/>
                          <a:chExt cx="5806440" cy="4409289"/>
                        </a:xfrm>
                        <a:effectLst/>
                      </wpg:grpSpPr>
                      <wps:wsp>
                        <wps:cNvPr id="2" name="文本框 2"/>
                        <wps:cNvSpPr txBox="1">
                          <a:spLocks noChangeArrowheads="1"/>
                        </wps:cNvSpPr>
                        <wps:spPr bwMode="auto">
                          <a:xfrm>
                            <a:off x="4819650" y="301370"/>
                            <a:ext cx="986790" cy="1365842"/>
                          </a:xfrm>
                          <a:prstGeom prst="rect">
                            <a:avLst/>
                          </a:prstGeom>
                          <a:solidFill>
                            <a:srgbClr val="FFFFFF"/>
                          </a:solidFill>
                          <a:ln>
                            <a:noFill/>
                          </a:ln>
                          <a:effectLst/>
                        </wps:spPr>
                        <wps:txbx>
                          <w:txbxContent>
                            <w:p>
                              <w:pPr>
                                <w:keepNext w:val="0"/>
                                <w:keepLines w:val="0"/>
                                <w:pageBreakBefore w:val="0"/>
                                <w:widowControl w:val="0"/>
                                <w:kinsoku/>
                                <w:wordWrap/>
                                <w:overflowPunct/>
                                <w:topLinePunct w:val="0"/>
                                <w:bidi w:val="0"/>
                                <w:adjustRightInd/>
                                <w:snapToGrid/>
                                <w:spacing w:line="240" w:lineRule="auto"/>
                                <w:ind w:firstLine="210" w:firstLineChars="100"/>
                                <w:textAlignment w:val="auto"/>
                                <w:rPr>
                                  <w:rFonts w:hint="eastAsia" w:ascii="Times New Roman" w:hAnsi="Times New Roman" w:eastAsia="仿宋" w:cs="Times New Roman"/>
                                  <w:sz w:val="21"/>
                                  <w:szCs w:val="21"/>
                                </w:rPr>
                              </w:pPr>
                              <w:r>
                                <w:rPr>
                                  <w:rFonts w:ascii="Times New Roman" w:hAnsi="Times New Roman" w:eastAsia="仿宋" w:cs="Times New Roman"/>
                                  <w:sz w:val="21"/>
                                  <w:szCs w:val="21"/>
                                </w:rPr>
                                <w:t>多场所组织的子证书</w:t>
                              </w:r>
                              <w:r>
                                <w:rPr>
                                  <w:rFonts w:hint="eastAsia" w:ascii="Times New Roman" w:hAnsi="Times New Roman" w:eastAsia="仿宋" w:cs="Times New Roman"/>
                                  <w:sz w:val="21"/>
                                  <w:szCs w:val="21"/>
                                  <w:lang w:eastAsia="zh-CN"/>
                                </w:rPr>
                                <w:t>编</w:t>
                              </w:r>
                              <w:r>
                                <w:rPr>
                                  <w:rFonts w:ascii="Times New Roman" w:hAnsi="Times New Roman" w:eastAsia="仿宋" w:cs="Times New Roman"/>
                                  <w:sz w:val="21"/>
                                  <w:szCs w:val="21"/>
                                </w:rPr>
                                <w:t>号应与</w:t>
                              </w:r>
                              <w:r>
                                <w:rPr>
                                  <w:rFonts w:hint="eastAsia" w:ascii="Times New Roman" w:hAnsi="Times New Roman" w:eastAsia="仿宋" w:cs="Times New Roman"/>
                                  <w:sz w:val="21"/>
                                  <w:szCs w:val="21"/>
                                  <w:lang w:eastAsia="zh-CN"/>
                                </w:rPr>
                                <w:t>主证书的编号相关</w:t>
                              </w:r>
                              <w:r>
                                <w:rPr>
                                  <w:rFonts w:hint="default" w:ascii="Times New Roman" w:hAnsi="Times New Roman" w:eastAsia="仿宋" w:cs="Times New Roman"/>
                                  <w:sz w:val="21"/>
                                  <w:szCs w:val="21"/>
                                </w:rPr>
                                <w:t>，</w:t>
                              </w:r>
                              <w:r>
                                <w:rPr>
                                  <w:rFonts w:ascii="Times New Roman" w:hAnsi="Times New Roman" w:eastAsia="仿宋" w:cs="Times New Roman"/>
                                  <w:sz w:val="21"/>
                                  <w:szCs w:val="21"/>
                                </w:rPr>
                                <w:t>在</w:t>
                              </w:r>
                              <w:r>
                                <w:rPr>
                                  <w:rFonts w:hint="eastAsia" w:ascii="Times New Roman" w:hAnsi="Times New Roman" w:eastAsia="仿宋" w:cs="Times New Roman"/>
                                  <w:sz w:val="21"/>
                                  <w:szCs w:val="21"/>
                                  <w:lang w:eastAsia="zh-CN"/>
                                </w:rPr>
                                <w:t>主证书编号</w:t>
                              </w:r>
                              <w:r>
                                <w:rPr>
                                  <w:rFonts w:ascii="Times New Roman" w:hAnsi="Times New Roman" w:eastAsia="仿宋" w:cs="Times New Roman"/>
                                  <w:sz w:val="21"/>
                                  <w:szCs w:val="21"/>
                                </w:rPr>
                                <w:t>后加子证书</w:t>
                              </w:r>
                              <w:r>
                                <w:rPr>
                                  <w:rFonts w:hint="eastAsia" w:ascii="Times New Roman" w:hAnsi="Times New Roman" w:eastAsia="仿宋" w:cs="Times New Roman"/>
                                  <w:sz w:val="21"/>
                                  <w:szCs w:val="21"/>
                                  <w:lang w:eastAsia="zh-CN"/>
                                </w:rPr>
                                <w:t>序</w:t>
                              </w:r>
                              <w:r>
                                <w:rPr>
                                  <w:rFonts w:ascii="Times New Roman" w:hAnsi="Times New Roman" w:eastAsia="仿宋" w:cs="Times New Roman"/>
                                  <w:sz w:val="21"/>
                                  <w:szCs w:val="21"/>
                                </w:rPr>
                                <w:t>号：-1，-2，</w:t>
                              </w:r>
                              <w:r>
                                <w:rPr>
                                  <w:rFonts w:hint="eastAsia" w:ascii="Times New Roman" w:hAnsi="Times New Roman" w:eastAsia="仿宋" w:cs="Times New Roman"/>
                                  <w:sz w:val="21"/>
                                  <w:szCs w:val="21"/>
                                  <w:lang w:eastAsia="zh-CN"/>
                                </w:rPr>
                                <w:t>……</w:t>
                              </w:r>
                            </w:p>
                          </w:txbxContent>
                        </wps:txbx>
                        <wps:bodyPr rot="0" vert="horz" wrap="square" lIns="91440" tIns="45720" rIns="91440" bIns="45720" anchor="t" anchorCtr="0" upright="1">
                          <a:noAutofit/>
                        </wps:bodyPr>
                      </wps:wsp>
                      <wpg:grpSp>
                        <wpg:cNvPr id="3" name="组合 11"/>
                        <wpg:cNvGrpSpPr/>
                        <wpg:grpSpPr>
                          <a:xfrm>
                            <a:off x="4105275" y="7620"/>
                            <a:ext cx="1609725" cy="2428740"/>
                            <a:chOff x="-76200" y="7620"/>
                            <a:chExt cx="1609725" cy="2428823"/>
                          </a:xfrm>
                          <a:effectLst/>
                        </wpg:grpSpPr>
                        <wps:wsp>
                          <wps:cNvPr id="4" name="直线 7"/>
                          <wps:cNvCnPr>
                            <a:cxnSpLocks noChangeShapeType="1"/>
                          </wps:cNvCnPr>
                          <wps:spPr bwMode="auto">
                            <a:xfrm>
                              <a:off x="537210" y="7620"/>
                              <a:ext cx="4445" cy="1665212"/>
                            </a:xfrm>
                            <a:prstGeom prst="line">
                              <a:avLst/>
                            </a:prstGeom>
                            <a:noFill/>
                            <a:ln w="9525" cap="flat" cmpd="sng">
                              <a:solidFill>
                                <a:srgbClr val="000000"/>
                              </a:solidFill>
                              <a:prstDash val="solid"/>
                              <a:round/>
                              <a:headEnd type="none" w="med" len="med"/>
                              <a:tailEnd type="none" w="med" len="med"/>
                            </a:ln>
                            <a:effectLst/>
                          </wps:spPr>
                          <wps:bodyPr/>
                        </wps:wsp>
                        <wps:wsp>
                          <wps:cNvPr id="5" name="文本框 2"/>
                          <wps:cNvSpPr txBox="1">
                            <a:spLocks noChangeArrowheads="1"/>
                          </wps:cNvSpPr>
                          <wps:spPr bwMode="auto">
                            <a:xfrm>
                              <a:off x="-76200" y="1719520"/>
                              <a:ext cx="1609725" cy="716923"/>
                            </a:xfrm>
                            <a:prstGeom prst="rect">
                              <a:avLst/>
                            </a:prstGeom>
                            <a:solidFill>
                              <a:srgbClr val="FFFFFF"/>
                            </a:solidFill>
                            <a:ln>
                              <a:noFill/>
                            </a:ln>
                            <a:effectLst/>
                          </wps:spPr>
                          <wps:txbx>
                            <w:txbxContent>
                              <w:p>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cs="Times New Roman"/>
                                    <w:sz w:val="21"/>
                                    <w:szCs w:val="21"/>
                                  </w:rPr>
                                </w:pPr>
                                <w:r>
                                  <w:rPr>
                                    <w:rFonts w:ascii="Times New Roman" w:hAnsi="Times New Roman" w:eastAsia="仿宋" w:cs="Times New Roman"/>
                                    <w:spacing w:val="-2"/>
                                    <w:sz w:val="21"/>
                                    <w:szCs w:val="21"/>
                                  </w:rPr>
                                  <w:t>通过认可</w:t>
                                </w:r>
                                <w:r>
                                  <w:rPr>
                                    <w:rFonts w:hint="eastAsia" w:ascii="Times New Roman" w:hAnsi="Times New Roman" w:eastAsia="仿宋" w:cs="Times New Roman"/>
                                    <w:spacing w:val="-2"/>
                                    <w:sz w:val="21"/>
                                    <w:szCs w:val="21"/>
                                    <w:lang w:val="en-US" w:eastAsia="zh-CN"/>
                                  </w:rPr>
                                  <w:t>的填写</w:t>
                                </w:r>
                                <w:r>
                                  <w:rPr>
                                    <w:rFonts w:ascii="Times New Roman" w:hAnsi="Times New Roman" w:eastAsia="仿宋" w:cs="Times New Roman"/>
                                    <w:spacing w:val="-2"/>
                                    <w:sz w:val="21"/>
                                    <w:szCs w:val="21"/>
                                  </w:rPr>
                                  <w:t>认可机构代码，</w:t>
                                </w:r>
                                <w:r>
                                  <w:rPr>
                                    <w:rFonts w:ascii="Times New Roman" w:hAnsi="Times New Roman" w:eastAsia="仿宋" w:cs="Times New Roman"/>
                                    <w:spacing w:val="-8"/>
                                    <w:sz w:val="21"/>
                                    <w:szCs w:val="21"/>
                                  </w:rPr>
                                  <w:t>未</w:t>
                                </w:r>
                                <w:r>
                                  <w:rPr>
                                    <w:rFonts w:hint="eastAsia" w:ascii="Times New Roman" w:hAnsi="Times New Roman" w:eastAsia="仿宋" w:cs="Times New Roman"/>
                                    <w:spacing w:val="-8"/>
                                    <w:sz w:val="21"/>
                                    <w:szCs w:val="21"/>
                                    <w:lang w:val="en-US" w:eastAsia="zh-CN"/>
                                  </w:rPr>
                                  <w:t>通过认可代码为“00”</w:t>
                                </w:r>
                                <w:r>
                                  <w:rPr>
                                    <w:rFonts w:hint="eastAsia" w:ascii="Times New Roman" w:hAnsi="Times New Roman" w:eastAsia="仿宋" w:cs="Times New Roman"/>
                                    <w:spacing w:val="-8"/>
                                    <w:sz w:val="21"/>
                                    <w:szCs w:val="21"/>
                                    <w:lang w:eastAsia="zh-CN"/>
                                  </w:rPr>
                                  <w:t>。</w:t>
                                </w:r>
                              </w:p>
                            </w:txbxContent>
                          </wps:txbx>
                          <wps:bodyPr rot="0" vert="horz" wrap="square" lIns="91440" tIns="45720" rIns="91440" bIns="45720" anchor="t" anchorCtr="0" upright="1">
                            <a:noAutofit/>
                          </wps:bodyPr>
                        </wps:wsp>
                      </wpg:grpSp>
                      <wpg:grpSp>
                        <wpg:cNvPr id="6" name="组合 14"/>
                        <wpg:cNvGrpSpPr/>
                        <wpg:grpSpPr>
                          <a:xfrm>
                            <a:off x="3181350" y="0"/>
                            <a:ext cx="2409825" cy="3135765"/>
                            <a:chOff x="-28575" y="0"/>
                            <a:chExt cx="2409825" cy="3136145"/>
                          </a:xfrm>
                          <a:effectLst/>
                        </wpg:grpSpPr>
                        <wps:wsp>
                          <wps:cNvPr id="7" name="直线 5"/>
                          <wps:cNvCnPr>
                            <a:cxnSpLocks noChangeShapeType="1"/>
                          </wps:cNvCnPr>
                          <wps:spPr bwMode="auto">
                            <a:xfrm>
                              <a:off x="617220" y="0"/>
                              <a:ext cx="635" cy="2447193"/>
                            </a:xfrm>
                            <a:prstGeom prst="line">
                              <a:avLst/>
                            </a:prstGeom>
                            <a:noFill/>
                            <a:ln w="9525" cap="flat" cmpd="sng">
                              <a:solidFill>
                                <a:srgbClr val="000000"/>
                              </a:solidFill>
                              <a:prstDash val="solid"/>
                              <a:round/>
                              <a:headEnd type="none" w="med" len="med"/>
                              <a:tailEnd type="none" w="med" len="med"/>
                            </a:ln>
                            <a:effectLst/>
                          </wps:spPr>
                          <wps:bodyPr/>
                        </wps:wsp>
                        <wps:wsp>
                          <wps:cNvPr id="8" name="文本框 2"/>
                          <wps:cNvSpPr txBox="1">
                            <a:spLocks noChangeArrowheads="1"/>
                          </wps:cNvSpPr>
                          <wps:spPr bwMode="auto">
                            <a:xfrm>
                              <a:off x="-28575" y="2473115"/>
                              <a:ext cx="2409825" cy="663030"/>
                            </a:xfrm>
                            <a:prstGeom prst="rect">
                              <a:avLst/>
                            </a:prstGeom>
                            <a:solidFill>
                              <a:srgbClr val="FFFFFF"/>
                            </a:solidFill>
                            <a:ln>
                              <a:noFill/>
                            </a:ln>
                            <a:effectLst/>
                          </wps:spPr>
                          <wps:txbx>
                            <w:txbxContent>
                              <w:p>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仿宋" w:cs="Times New Roman"/>
                                    <w:sz w:val="21"/>
                                    <w:szCs w:val="21"/>
                                  </w:rPr>
                                </w:pPr>
                                <w:r>
                                  <w:rPr>
                                    <w:rFonts w:ascii="Times New Roman" w:hAnsi="Times New Roman" w:eastAsia="仿宋" w:cs="Times New Roman"/>
                                    <w:spacing w:val="-6"/>
                                    <w:sz w:val="21"/>
                                    <w:szCs w:val="21"/>
                                  </w:rPr>
                                  <w:t>后缀表示初次认证或再认证换证号：初次认证为</w:t>
                                </w:r>
                                <w:r>
                                  <w:rPr>
                                    <w:rFonts w:ascii="Times New Roman" w:hAnsi="Times New Roman" w:eastAsia="仿宋" w:cs="Times New Roman"/>
                                    <w:sz w:val="21"/>
                                    <w:szCs w:val="21"/>
                                  </w:rPr>
                                  <w:t>R0</w:t>
                                </w:r>
                                <w:r>
                                  <w:rPr>
                                    <w:rFonts w:hint="default" w:ascii="Times New Roman" w:hAnsi="Times New Roman" w:eastAsia="仿宋" w:cs="Times New Roman"/>
                                    <w:sz w:val="21"/>
                                    <w:szCs w:val="21"/>
                                  </w:rPr>
                                  <w:t>，</w:t>
                                </w:r>
                                <w:r>
                                  <w:rPr>
                                    <w:rFonts w:ascii="Times New Roman" w:hAnsi="Times New Roman" w:eastAsia="仿宋" w:cs="Times New Roman"/>
                                    <w:spacing w:val="-9"/>
                                    <w:sz w:val="21"/>
                                    <w:szCs w:val="21"/>
                                  </w:rPr>
                                  <w:t>第一</w:t>
                                </w:r>
                                <w:r>
                                  <w:rPr>
                                    <w:rFonts w:ascii="Times New Roman" w:hAnsi="Times New Roman" w:eastAsia="仿宋" w:cs="Times New Roman"/>
                                    <w:sz w:val="21"/>
                                    <w:szCs w:val="21"/>
                                  </w:rPr>
                                  <w:t>次再认证换证为R1，第二次再认证换证为R2，</w:t>
                                </w:r>
                                <w:r>
                                  <w:rPr>
                                    <w:rFonts w:hint="eastAsia" w:ascii="Times New Roman" w:hAnsi="Times New Roman" w:eastAsia="仿宋" w:cs="Times New Roman"/>
                                    <w:sz w:val="21"/>
                                    <w:szCs w:val="21"/>
                                    <w:lang w:eastAsia="zh-CN"/>
                                  </w:rPr>
                                  <w:t>……</w:t>
                                </w:r>
                              </w:p>
                            </w:txbxContent>
                          </wps:txbx>
                          <wps:bodyPr rot="0" vert="horz" wrap="square" lIns="91440" tIns="45720" rIns="91440" bIns="45720" anchor="t" anchorCtr="0" upright="1">
                            <a:noAutofit/>
                          </wps:bodyPr>
                        </wps:wsp>
                      </wpg:grpSp>
                      <wpg:grpSp>
                        <wpg:cNvPr id="9" name="组合 15"/>
                        <wpg:cNvGrpSpPr/>
                        <wpg:grpSpPr>
                          <a:xfrm>
                            <a:off x="2495550" y="30480"/>
                            <a:ext cx="3200400" cy="3466846"/>
                            <a:chOff x="-28580" y="30481"/>
                            <a:chExt cx="3200964" cy="3466975"/>
                          </a:xfrm>
                          <a:effectLst/>
                        </wpg:grpSpPr>
                        <wps:wsp>
                          <wps:cNvPr id="10" name="直线 4"/>
                          <wps:cNvCnPr>
                            <a:cxnSpLocks noChangeShapeType="1"/>
                          </wps:cNvCnPr>
                          <wps:spPr bwMode="auto">
                            <a:xfrm>
                              <a:off x="430606" y="30481"/>
                              <a:ext cx="15878" cy="2999466"/>
                            </a:xfrm>
                            <a:prstGeom prst="line">
                              <a:avLst/>
                            </a:prstGeom>
                            <a:noFill/>
                            <a:ln w="9525" cap="flat" cmpd="sng">
                              <a:solidFill>
                                <a:srgbClr val="000000"/>
                              </a:solidFill>
                              <a:prstDash val="solid"/>
                              <a:round/>
                              <a:headEnd type="none" w="med" len="med"/>
                              <a:tailEnd type="none" w="med" len="med"/>
                            </a:ln>
                            <a:effectLst/>
                          </wps:spPr>
                          <wps:bodyPr/>
                        </wps:wsp>
                        <wps:wsp>
                          <wps:cNvPr id="11" name="文本框 2"/>
                          <wps:cNvSpPr txBox="1">
                            <a:spLocks noChangeArrowheads="1"/>
                          </wps:cNvSpPr>
                          <wps:spPr bwMode="auto">
                            <a:xfrm>
                              <a:off x="-28580" y="3026423"/>
                              <a:ext cx="3200964" cy="471033"/>
                            </a:xfrm>
                            <a:prstGeom prst="rect">
                              <a:avLst/>
                            </a:prstGeom>
                            <a:solidFill>
                              <a:srgbClr val="FFFFFF"/>
                            </a:solidFill>
                            <a:ln>
                              <a:noFill/>
                            </a:ln>
                            <a:effectLst/>
                          </wps:spPr>
                          <wps:txbx>
                            <w:txbxContent>
                              <w:p>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仿宋" w:cs="Times New Roman"/>
                                    <w:sz w:val="21"/>
                                    <w:szCs w:val="21"/>
                                  </w:rPr>
                                </w:pPr>
                                <w:r>
                                  <w:rPr>
                                    <w:rFonts w:ascii="Times New Roman" w:hAnsi="Times New Roman" w:eastAsia="仿宋" w:cs="Times New Roman"/>
                                    <w:sz w:val="21"/>
                                    <w:szCs w:val="21"/>
                                  </w:rPr>
                                  <w:t>一个认证机构当年发出</w:t>
                                </w:r>
                                <w:r>
                                  <w:rPr>
                                    <w:rFonts w:hint="default" w:ascii="Times New Roman" w:hAnsi="Times New Roman" w:eastAsia="仿宋" w:cs="Times New Roman"/>
                                    <w:sz w:val="21"/>
                                    <w:szCs w:val="21"/>
                                  </w:rPr>
                                  <w:t>Q</w:t>
                                </w:r>
                                <w:r>
                                  <w:rPr>
                                    <w:rFonts w:ascii="Times New Roman" w:hAnsi="Times New Roman" w:eastAsia="仿宋" w:cs="Times New Roman"/>
                                    <w:sz w:val="21"/>
                                    <w:szCs w:val="21"/>
                                  </w:rPr>
                                  <w:t>MS</w:t>
                                </w:r>
                                <w:r>
                                  <w:rPr>
                                    <w:rFonts w:hint="default" w:ascii="Times New Roman" w:hAnsi="Times New Roman" w:eastAsia="仿宋" w:cs="Times New Roman"/>
                                    <w:sz w:val="21"/>
                                    <w:szCs w:val="21"/>
                                  </w:rPr>
                                  <w:t>认证</w:t>
                                </w:r>
                                <w:r>
                                  <w:rPr>
                                    <w:rFonts w:ascii="Times New Roman" w:hAnsi="Times New Roman" w:eastAsia="仿宋" w:cs="Times New Roman"/>
                                    <w:sz w:val="21"/>
                                    <w:szCs w:val="21"/>
                                  </w:rPr>
                                  <w:t>证书的顺序累计号：00</w:t>
                                </w:r>
                                <w:r>
                                  <w:rPr>
                                    <w:rFonts w:hint="default" w:ascii="Times New Roman" w:hAnsi="Times New Roman" w:eastAsia="仿宋" w:cs="Times New Roman"/>
                                    <w:sz w:val="21"/>
                                    <w:szCs w:val="21"/>
                                  </w:rPr>
                                  <w:t>0</w:t>
                                </w:r>
                                <w:r>
                                  <w:rPr>
                                    <w:rFonts w:hint="eastAsia" w:ascii="Times New Roman" w:hAnsi="Times New Roman" w:eastAsia="仿宋" w:cs="Times New Roman"/>
                                    <w:sz w:val="21"/>
                                    <w:szCs w:val="21"/>
                                    <w:lang w:val="en-US" w:eastAsia="zh-CN"/>
                                  </w:rPr>
                                  <w:t>0</w:t>
                                </w:r>
                                <w:r>
                                  <w:rPr>
                                    <w:rFonts w:ascii="Times New Roman" w:hAnsi="Times New Roman" w:eastAsia="仿宋" w:cs="Times New Roman"/>
                                    <w:sz w:val="21"/>
                                    <w:szCs w:val="21"/>
                                  </w:rPr>
                                  <w:t>1，0</w:t>
                                </w:r>
                                <w:r>
                                  <w:rPr>
                                    <w:rFonts w:hint="default" w:ascii="Times New Roman" w:hAnsi="Times New Roman" w:eastAsia="仿宋" w:cs="Times New Roman"/>
                                    <w:sz w:val="21"/>
                                    <w:szCs w:val="21"/>
                                  </w:rPr>
                                  <w:t>0</w:t>
                                </w:r>
                                <w:r>
                                  <w:rPr>
                                    <w:rFonts w:ascii="Times New Roman" w:hAnsi="Times New Roman" w:eastAsia="仿宋" w:cs="Times New Roman"/>
                                    <w:sz w:val="21"/>
                                    <w:szCs w:val="21"/>
                                  </w:rPr>
                                  <w:t>0</w:t>
                                </w:r>
                                <w:r>
                                  <w:rPr>
                                    <w:rFonts w:hint="eastAsia" w:ascii="Times New Roman" w:hAnsi="Times New Roman" w:eastAsia="仿宋" w:cs="Times New Roman"/>
                                    <w:sz w:val="21"/>
                                    <w:szCs w:val="21"/>
                                    <w:lang w:val="en-US" w:eastAsia="zh-CN"/>
                                  </w:rPr>
                                  <w:t>0</w:t>
                                </w:r>
                                <w:r>
                                  <w:rPr>
                                    <w:rFonts w:ascii="Times New Roman" w:hAnsi="Times New Roman" w:eastAsia="仿宋" w:cs="Times New Roman"/>
                                    <w:sz w:val="21"/>
                                    <w:szCs w:val="21"/>
                                  </w:rPr>
                                  <w:t>2，</w:t>
                                </w:r>
                                <w:r>
                                  <w:rPr>
                                    <w:rFonts w:hint="eastAsia" w:ascii="Times New Roman" w:hAnsi="Times New Roman" w:eastAsia="仿宋" w:cs="Times New Roman"/>
                                    <w:sz w:val="21"/>
                                    <w:szCs w:val="21"/>
                                    <w:lang w:eastAsia="zh-CN"/>
                                  </w:rPr>
                                  <w:t>……</w:t>
                                </w:r>
                              </w:p>
                            </w:txbxContent>
                          </wps:txbx>
                          <wps:bodyPr rot="0" vert="horz" wrap="square" lIns="91440" tIns="45720" rIns="91440" bIns="45720" anchor="t" anchorCtr="0" upright="1">
                            <a:noAutofit/>
                          </wps:bodyPr>
                        </wps:wsp>
                      </wpg:grpSp>
                      <wpg:grpSp>
                        <wpg:cNvPr id="12" name="组合 17"/>
                        <wpg:cNvGrpSpPr/>
                        <wpg:grpSpPr>
                          <a:xfrm>
                            <a:off x="1752600" y="-7620"/>
                            <a:ext cx="3600450" cy="3707256"/>
                            <a:chOff x="-28580" y="-7621"/>
                            <a:chExt cx="3601084" cy="3707731"/>
                          </a:xfrm>
                          <a:effectLst/>
                        </wpg:grpSpPr>
                        <wps:wsp>
                          <wps:cNvPr id="13" name="直线 6"/>
                          <wps:cNvCnPr>
                            <a:cxnSpLocks noChangeShapeType="1"/>
                          </wps:cNvCnPr>
                          <wps:spPr bwMode="auto">
                            <a:xfrm flipH="1">
                              <a:off x="408376" y="-7621"/>
                              <a:ext cx="10797" cy="3417897"/>
                            </a:xfrm>
                            <a:prstGeom prst="line">
                              <a:avLst/>
                            </a:prstGeom>
                            <a:noFill/>
                            <a:ln w="9525" cap="flat" cmpd="sng">
                              <a:solidFill>
                                <a:srgbClr val="000000"/>
                              </a:solidFill>
                              <a:prstDash val="solid"/>
                              <a:round/>
                              <a:headEnd type="none" w="med" len="med"/>
                              <a:tailEnd type="none" w="med" len="med"/>
                            </a:ln>
                            <a:effectLst/>
                          </wps:spPr>
                          <wps:bodyPr/>
                        </wps:wsp>
                        <wps:wsp>
                          <wps:cNvPr id="14" name="文本框 2"/>
                          <wps:cNvSpPr txBox="1">
                            <a:spLocks noChangeArrowheads="1"/>
                          </wps:cNvSpPr>
                          <wps:spPr bwMode="auto">
                            <a:xfrm>
                              <a:off x="-28580" y="3420473"/>
                              <a:ext cx="3601084" cy="279637"/>
                            </a:xfrm>
                            <a:prstGeom prst="rect">
                              <a:avLst/>
                            </a:prstGeom>
                            <a:solidFill>
                              <a:srgbClr val="FFFFFF"/>
                            </a:solidFill>
                            <a:ln>
                              <a:noFill/>
                            </a:ln>
                            <a:effectLst/>
                          </wps:spPr>
                          <wps:txbx>
                            <w:txbxContent>
                              <w:p>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仿宋" w:cs="Times New Roman"/>
                                    <w:sz w:val="21"/>
                                    <w:szCs w:val="21"/>
                                  </w:rPr>
                                </w:pPr>
                                <w:r>
                                  <w:rPr>
                                    <w:rFonts w:hint="default" w:ascii="Times New Roman" w:hAnsi="Times New Roman" w:eastAsia="仿宋" w:cs="Times New Roman"/>
                                    <w:sz w:val="21"/>
                                    <w:szCs w:val="21"/>
                                  </w:rPr>
                                  <w:t>认证</w:t>
                                </w:r>
                                <w:r>
                                  <w:rPr>
                                    <w:rFonts w:ascii="Times New Roman" w:hAnsi="Times New Roman" w:eastAsia="仿宋" w:cs="Times New Roman"/>
                                    <w:sz w:val="21"/>
                                    <w:szCs w:val="21"/>
                                  </w:rPr>
                                  <w:t>证书所属</w:t>
                                </w:r>
                                <w:r>
                                  <w:rPr>
                                    <w:rFonts w:hint="default" w:ascii="Times New Roman" w:hAnsi="Times New Roman" w:eastAsia="仿宋" w:cs="Times New Roman"/>
                                    <w:sz w:val="21"/>
                                    <w:szCs w:val="21"/>
                                    <w:lang w:val="en-US" w:eastAsia="zh-CN"/>
                                  </w:rPr>
                                  <w:t>领域</w:t>
                                </w:r>
                                <w:r>
                                  <w:rPr>
                                    <w:rFonts w:ascii="Times New Roman" w:hAnsi="Times New Roman" w:eastAsia="仿宋" w:cs="Times New Roman"/>
                                    <w:sz w:val="21"/>
                                    <w:szCs w:val="21"/>
                                  </w:rPr>
                                  <w:t>代号：</w:t>
                                </w:r>
                                <w:r>
                                  <w:rPr>
                                    <w:rFonts w:hint="default" w:ascii="Times New Roman" w:hAnsi="Times New Roman" w:eastAsia="仿宋" w:cs="Times New Roman"/>
                                    <w:sz w:val="21"/>
                                    <w:szCs w:val="21"/>
                                  </w:rPr>
                                  <w:t>Q</w:t>
                                </w:r>
                                <w:r>
                                  <w:rPr>
                                    <w:rFonts w:ascii="Times New Roman" w:hAnsi="Times New Roman" w:eastAsia="仿宋" w:cs="Times New Roman"/>
                                    <w:sz w:val="21"/>
                                    <w:szCs w:val="21"/>
                                  </w:rPr>
                                  <w:t>为</w:t>
                                </w:r>
                                <w:r>
                                  <w:rPr>
                                    <w:rFonts w:hint="default" w:ascii="Times New Roman" w:hAnsi="Times New Roman" w:eastAsia="仿宋" w:cs="Times New Roman"/>
                                    <w:sz w:val="21"/>
                                    <w:szCs w:val="21"/>
                                  </w:rPr>
                                  <w:t>Q</w:t>
                                </w:r>
                                <w:r>
                                  <w:rPr>
                                    <w:rFonts w:ascii="Times New Roman" w:hAnsi="Times New Roman" w:eastAsia="仿宋" w:cs="Times New Roman"/>
                                    <w:sz w:val="21"/>
                                    <w:szCs w:val="21"/>
                                  </w:rPr>
                                  <w:t>MS</w:t>
                                </w:r>
                                <w:r>
                                  <w:rPr>
                                    <w:rFonts w:hint="eastAsia" w:ascii="Times New Roman" w:hAnsi="Times New Roman" w:eastAsia="仿宋" w:cs="Times New Roman"/>
                                    <w:sz w:val="21"/>
                                    <w:szCs w:val="21"/>
                                    <w:lang w:eastAsia="zh-CN"/>
                                  </w:rPr>
                                  <w:t>。</w:t>
                                </w:r>
                              </w:p>
                            </w:txbxContent>
                          </wps:txbx>
                          <wps:bodyPr rot="0" vert="horz" wrap="square" lIns="91440" tIns="45720" rIns="91440" bIns="45720" anchor="t" anchorCtr="0" upright="1">
                            <a:noAutofit/>
                          </wps:bodyPr>
                        </wps:wsp>
                      </wpg:grpSp>
                      <wpg:grpSp>
                        <wpg:cNvPr id="15" name="组合 20"/>
                        <wpg:cNvGrpSpPr/>
                        <wpg:grpSpPr>
                          <a:xfrm>
                            <a:off x="962025" y="-10911"/>
                            <a:ext cx="3600450" cy="3938273"/>
                            <a:chOff x="123825" y="-20438"/>
                            <a:chExt cx="3600450" cy="3938717"/>
                          </a:xfrm>
                          <a:effectLst/>
                        </wpg:grpSpPr>
                        <wps:wsp>
                          <wps:cNvPr id="16" name="直线 3"/>
                          <wps:cNvCnPr>
                            <a:cxnSpLocks noChangeShapeType="1"/>
                          </wps:cNvCnPr>
                          <wps:spPr bwMode="auto">
                            <a:xfrm flipH="1">
                              <a:off x="436880" y="-20438"/>
                              <a:ext cx="28575" cy="3638852"/>
                            </a:xfrm>
                            <a:prstGeom prst="line">
                              <a:avLst/>
                            </a:prstGeom>
                            <a:noFill/>
                            <a:ln w="9525" cap="flat" cmpd="sng">
                              <a:solidFill>
                                <a:srgbClr val="000000"/>
                              </a:solidFill>
                              <a:prstDash val="solid"/>
                              <a:round/>
                              <a:headEnd type="none" w="med" len="med"/>
                              <a:tailEnd type="none" w="med" len="med"/>
                            </a:ln>
                            <a:effectLst/>
                          </wps:spPr>
                          <wps:bodyPr/>
                        </wps:wsp>
                        <wps:wsp>
                          <wps:cNvPr id="20" name="文本框 2"/>
                          <wps:cNvSpPr txBox="1">
                            <a:spLocks noChangeArrowheads="1"/>
                          </wps:cNvSpPr>
                          <wps:spPr bwMode="auto">
                            <a:xfrm>
                              <a:off x="123825" y="3638647"/>
                              <a:ext cx="3600450" cy="279632"/>
                            </a:xfrm>
                            <a:prstGeom prst="rect">
                              <a:avLst/>
                            </a:prstGeom>
                            <a:solidFill>
                              <a:srgbClr val="FFFFFF"/>
                            </a:solidFill>
                            <a:ln>
                              <a:noFill/>
                            </a:ln>
                            <a:effectLst/>
                          </wps:spPr>
                          <wps:txbx>
                            <w:txbxContent>
                              <w:p>
                                <w:pPr>
                                  <w:spacing w:line="240" w:lineRule="auto"/>
                                  <w:rPr>
                                    <w:rFonts w:hint="eastAsia" w:ascii="Times New Roman" w:hAnsi="Times New Roman" w:eastAsia="仿宋" w:cs="Times New Roman"/>
                                    <w:sz w:val="21"/>
                                    <w:szCs w:val="21"/>
                                  </w:rPr>
                                </w:pPr>
                                <w:r>
                                  <w:rPr>
                                    <w:rFonts w:hint="default" w:ascii="Times New Roman" w:hAnsi="Times New Roman" w:eastAsia="仿宋" w:cs="Times New Roman"/>
                                    <w:sz w:val="21"/>
                                    <w:szCs w:val="21"/>
                                  </w:rPr>
                                  <w:t>认证</w:t>
                                </w:r>
                                <w:r>
                                  <w:rPr>
                                    <w:rFonts w:ascii="Times New Roman" w:hAnsi="Times New Roman" w:eastAsia="仿宋" w:cs="Times New Roman"/>
                                    <w:sz w:val="21"/>
                                    <w:szCs w:val="21"/>
                                  </w:rPr>
                                  <w:t>证书</w:t>
                                </w:r>
                                <w:r>
                                  <w:rPr>
                                    <w:rFonts w:hint="eastAsia" w:ascii="Times New Roman" w:hAnsi="Times New Roman" w:eastAsia="仿宋" w:cs="Times New Roman"/>
                                    <w:sz w:val="21"/>
                                    <w:szCs w:val="21"/>
                                    <w:lang w:val="en-US" w:eastAsia="zh-CN"/>
                                  </w:rPr>
                                  <w:t>签发</w:t>
                                </w:r>
                                <w:r>
                                  <w:rPr>
                                    <w:rFonts w:ascii="Times New Roman" w:hAnsi="Times New Roman" w:eastAsia="仿宋" w:cs="Times New Roman"/>
                                    <w:sz w:val="21"/>
                                    <w:szCs w:val="21"/>
                                  </w:rPr>
                                  <w:t>年份：2</w:t>
                                </w:r>
                                <w:r>
                                  <w:rPr>
                                    <w:rFonts w:hint="default" w:ascii="Times New Roman" w:hAnsi="Times New Roman" w:eastAsia="仿宋" w:cs="Times New Roman"/>
                                    <w:sz w:val="21"/>
                                    <w:szCs w:val="21"/>
                                    <w:lang w:val="en-US" w:eastAsia="zh-CN"/>
                                  </w:rPr>
                                  <w:t>5</w:t>
                                </w:r>
                                <w:r>
                                  <w:rPr>
                                    <w:rFonts w:ascii="Times New Roman" w:hAnsi="Times New Roman" w:eastAsia="仿宋" w:cs="Times New Roman"/>
                                    <w:sz w:val="21"/>
                                    <w:szCs w:val="21"/>
                                  </w:rPr>
                                  <w:t>-202</w:t>
                                </w:r>
                                <w:r>
                                  <w:rPr>
                                    <w:rFonts w:hint="default" w:ascii="Times New Roman" w:hAnsi="Times New Roman" w:eastAsia="仿宋" w:cs="Times New Roman"/>
                                    <w:sz w:val="21"/>
                                    <w:szCs w:val="21"/>
                                    <w:lang w:val="en-US" w:eastAsia="zh-CN"/>
                                  </w:rPr>
                                  <w:t>5</w:t>
                                </w:r>
                                <w:r>
                                  <w:rPr>
                                    <w:rFonts w:ascii="Times New Roman" w:hAnsi="Times New Roman" w:eastAsia="仿宋" w:cs="Times New Roman"/>
                                    <w:sz w:val="21"/>
                                    <w:szCs w:val="21"/>
                                  </w:rPr>
                                  <w:t>，2</w:t>
                                </w:r>
                                <w:r>
                                  <w:rPr>
                                    <w:rFonts w:hint="default" w:ascii="Times New Roman" w:hAnsi="Times New Roman" w:eastAsia="仿宋" w:cs="Times New Roman"/>
                                    <w:sz w:val="21"/>
                                    <w:szCs w:val="21"/>
                                    <w:lang w:val="en-US" w:eastAsia="zh-CN"/>
                                  </w:rPr>
                                  <w:t>6</w:t>
                                </w:r>
                                <w:r>
                                  <w:rPr>
                                    <w:rFonts w:ascii="Times New Roman" w:hAnsi="Times New Roman" w:eastAsia="仿宋" w:cs="Times New Roman"/>
                                    <w:sz w:val="21"/>
                                    <w:szCs w:val="21"/>
                                  </w:rPr>
                                  <w:t>-202</w:t>
                                </w:r>
                                <w:r>
                                  <w:rPr>
                                    <w:rFonts w:hint="default" w:ascii="Times New Roman" w:hAnsi="Times New Roman" w:eastAsia="仿宋" w:cs="Times New Roman"/>
                                    <w:sz w:val="21"/>
                                    <w:szCs w:val="21"/>
                                    <w:lang w:val="en-US" w:eastAsia="zh-CN"/>
                                  </w:rPr>
                                  <w:t>6</w:t>
                                </w:r>
                                <w:r>
                                  <w:rPr>
                                    <w:rFonts w:ascii="Times New Roman" w:hAnsi="Times New Roman" w:eastAsia="仿宋" w:cs="Times New Roman"/>
                                    <w:sz w:val="21"/>
                                    <w:szCs w:val="21"/>
                                  </w:rPr>
                                  <w:t>，</w:t>
                                </w:r>
                                <w:r>
                                  <w:rPr>
                                    <w:rFonts w:hint="eastAsia" w:ascii="Times New Roman" w:hAnsi="Times New Roman" w:eastAsia="仿宋" w:cs="Times New Roman"/>
                                    <w:sz w:val="21"/>
                                    <w:szCs w:val="21"/>
                                    <w:lang w:eastAsia="zh-CN"/>
                                  </w:rPr>
                                  <w:t>……</w:t>
                                </w:r>
                              </w:p>
                            </w:txbxContent>
                          </wps:txbx>
                          <wps:bodyPr rot="0" vert="horz" wrap="square" lIns="91440" tIns="45720" rIns="91440" bIns="45720" anchor="t" anchorCtr="0" upright="1">
                            <a:noAutofit/>
                          </wps:bodyPr>
                        </wps:wsp>
                      </wpg:grpSp>
                      <wpg:grpSp>
                        <wpg:cNvPr id="22" name="组合 21"/>
                        <wpg:cNvGrpSpPr/>
                        <wpg:grpSpPr>
                          <a:xfrm>
                            <a:off x="0" y="-11430"/>
                            <a:ext cx="5677535" cy="4409289"/>
                            <a:chOff x="-95250" y="-68594"/>
                            <a:chExt cx="5677535" cy="4410184"/>
                          </a:xfrm>
                          <a:effectLst/>
                        </wpg:grpSpPr>
                        <wps:wsp>
                          <wps:cNvPr id="23" name="直线 2"/>
                          <wps:cNvCnPr>
                            <a:cxnSpLocks noChangeShapeType="1"/>
                          </wps:cNvCnPr>
                          <wps:spPr bwMode="auto">
                            <a:xfrm>
                              <a:off x="318135" y="-68594"/>
                              <a:ext cx="4445" cy="3935960"/>
                            </a:xfrm>
                            <a:prstGeom prst="line">
                              <a:avLst/>
                            </a:prstGeom>
                            <a:noFill/>
                            <a:ln w="9525" cap="flat" cmpd="sng">
                              <a:solidFill>
                                <a:srgbClr val="000000"/>
                              </a:solidFill>
                              <a:prstDash val="solid"/>
                              <a:round/>
                              <a:headEnd type="none" w="med" len="med"/>
                              <a:tailEnd type="none" w="med" len="med"/>
                            </a:ln>
                            <a:effectLst/>
                          </wps:spPr>
                          <wps:bodyPr/>
                        </wps:wsp>
                        <wps:wsp>
                          <wps:cNvPr id="25" name="文本框 2"/>
                          <wps:cNvSpPr txBox="1">
                            <a:spLocks noChangeArrowheads="1"/>
                          </wps:cNvSpPr>
                          <wps:spPr bwMode="auto">
                            <a:xfrm>
                              <a:off x="-95250" y="3869960"/>
                              <a:ext cx="5677535" cy="471630"/>
                            </a:xfrm>
                            <a:prstGeom prst="rect">
                              <a:avLst/>
                            </a:prstGeom>
                            <a:solidFill>
                              <a:srgbClr val="FFFFFF"/>
                            </a:solidFill>
                            <a:ln>
                              <a:noFill/>
                            </a:ln>
                            <a:effectLst/>
                          </wps:spPr>
                          <wps:txbx>
                            <w:txbxContent>
                              <w:p>
                                <w:pPr>
                                  <w:spacing w:line="240" w:lineRule="auto"/>
                                  <w:rPr>
                                    <w:rFonts w:ascii="Times New Roman" w:hAnsi="Times New Roman"/>
                                    <w:sz w:val="21"/>
                                    <w:szCs w:val="21"/>
                                  </w:rPr>
                                </w:pPr>
                                <w:r>
                                  <w:rPr>
                                    <w:rFonts w:hint="eastAsia" w:ascii="Times New Roman" w:hAnsi="Times New Roman" w:eastAsia="仿宋" w:cs="Times New Roman"/>
                                    <w:sz w:val="21"/>
                                    <w:szCs w:val="21"/>
                                    <w:lang w:val="en-US" w:eastAsia="zh-CN"/>
                                  </w:rPr>
                                  <w:t>内资认证机构为</w:t>
                                </w:r>
                                <w:r>
                                  <w:rPr>
                                    <w:rFonts w:ascii="Times New Roman" w:hAnsi="Times New Roman" w:eastAsia="仿宋" w:cs="Times New Roman"/>
                                    <w:sz w:val="21"/>
                                    <w:szCs w:val="21"/>
                                  </w:rPr>
                                  <w:t>认证机构批准号后三/四位数字</w:t>
                                </w:r>
                                <w:r>
                                  <w:rPr>
                                    <w:rFonts w:hint="eastAsia" w:ascii="Times New Roman" w:hAnsi="Times New Roman" w:eastAsia="仿宋" w:cs="Times New Roman"/>
                                    <w:sz w:val="21"/>
                                    <w:szCs w:val="21"/>
                                    <w:lang w:val="en-US" w:eastAsia="zh-CN"/>
                                  </w:rPr>
                                  <w:t>批准</w:t>
                                </w:r>
                                <w:r>
                                  <w:rPr>
                                    <w:rFonts w:ascii="Times New Roman" w:hAnsi="Times New Roman" w:eastAsia="仿宋" w:cs="Times New Roman"/>
                                    <w:sz w:val="21"/>
                                    <w:szCs w:val="21"/>
                                  </w:rPr>
                                  <w:t>流水号</w:t>
                                </w:r>
                                <w:r>
                                  <w:rPr>
                                    <w:rFonts w:hint="eastAsia" w:ascii="Times New Roman" w:hAnsi="Times New Roman" w:eastAsia="仿宋" w:cs="Times New Roman"/>
                                    <w:sz w:val="21"/>
                                    <w:szCs w:val="21"/>
                                    <w:lang w:eastAsia="zh-CN"/>
                                  </w:rPr>
                                  <w:t>；</w:t>
                                </w:r>
                                <w:r>
                                  <w:rPr>
                                    <w:rFonts w:ascii="Times New Roman" w:hAnsi="Times New Roman" w:eastAsia="仿宋" w:cs="Times New Roman"/>
                                    <w:sz w:val="21"/>
                                    <w:szCs w:val="21"/>
                                  </w:rPr>
                                  <w:t>外资</w:t>
                                </w:r>
                                <w:r>
                                  <w:rPr>
                                    <w:rFonts w:hint="eastAsia" w:ascii="Times New Roman" w:hAnsi="Times New Roman" w:eastAsia="仿宋" w:cs="Times New Roman"/>
                                    <w:sz w:val="21"/>
                                    <w:szCs w:val="21"/>
                                    <w:lang w:val="en-US" w:eastAsia="zh-CN"/>
                                  </w:rPr>
                                  <w:t>认证</w:t>
                                </w:r>
                                <w:r>
                                  <w:rPr>
                                    <w:rFonts w:ascii="Times New Roman" w:hAnsi="Times New Roman" w:eastAsia="仿宋" w:cs="Times New Roman"/>
                                    <w:sz w:val="21"/>
                                    <w:szCs w:val="21"/>
                                  </w:rPr>
                                  <w:t>机构</w:t>
                                </w:r>
                                <w:r>
                                  <w:rPr>
                                    <w:rFonts w:hint="eastAsia" w:ascii="Times New Roman" w:hAnsi="Times New Roman" w:eastAsia="仿宋" w:cs="Times New Roman"/>
                                    <w:sz w:val="21"/>
                                    <w:szCs w:val="21"/>
                                    <w:lang w:val="en-US" w:eastAsia="zh-CN"/>
                                  </w:rPr>
                                  <w:t>为</w:t>
                                </w:r>
                                <w:r>
                                  <w:rPr>
                                    <w:rFonts w:ascii="Times New Roman" w:hAnsi="Times New Roman" w:eastAsia="仿宋" w:cs="Times New Roman"/>
                                    <w:sz w:val="21"/>
                                    <w:szCs w:val="21"/>
                                  </w:rPr>
                                  <w:t>F</w:t>
                                </w:r>
                                <w:r>
                                  <w:rPr>
                                    <w:rFonts w:hint="default" w:ascii="Times New Roman" w:hAnsi="Times New Roman" w:eastAsia="仿宋" w:cs="Times New Roman"/>
                                    <w:sz w:val="21"/>
                                    <w:szCs w:val="21"/>
                                  </w:rPr>
                                  <w:t>+</w:t>
                                </w:r>
                                <w:r>
                                  <w:rPr>
                                    <w:rFonts w:ascii="Times New Roman" w:hAnsi="Times New Roman" w:eastAsia="仿宋" w:cs="Times New Roman"/>
                                    <w:sz w:val="21"/>
                                    <w:szCs w:val="21"/>
                                  </w:rPr>
                                  <w:t>认证机构批准号后三数字</w:t>
                                </w:r>
                                <w:r>
                                  <w:rPr>
                                    <w:rFonts w:hint="eastAsia" w:ascii="Times New Roman" w:hAnsi="Times New Roman" w:eastAsia="仿宋" w:cs="Times New Roman"/>
                                    <w:sz w:val="21"/>
                                    <w:szCs w:val="21"/>
                                    <w:lang w:val="en-US" w:eastAsia="zh-CN"/>
                                  </w:rPr>
                                  <w:t>批准</w:t>
                                </w:r>
                                <w:r>
                                  <w:rPr>
                                    <w:rFonts w:ascii="Times New Roman" w:hAnsi="Times New Roman" w:eastAsia="仿宋" w:cs="Times New Roman"/>
                                    <w:sz w:val="21"/>
                                    <w:szCs w:val="21"/>
                                  </w:rPr>
                                  <w:t>流水号</w:t>
                                </w:r>
                                <w:r>
                                  <w:rPr>
                                    <w:rFonts w:hint="default" w:ascii="Times New Roman" w:hAnsi="Times New Roman" w:eastAsia="仿宋" w:cs="Times New Roman"/>
                                    <w:sz w:val="21"/>
                                    <w:szCs w:val="21"/>
                                  </w:rPr>
                                  <w:t>，不足三位的，首</w:t>
                                </w:r>
                                <w:r>
                                  <w:rPr>
                                    <w:rFonts w:ascii="Times New Roman" w:hAnsi="Times New Roman" w:eastAsia="仿宋" w:cs="Times New Roman"/>
                                    <w:sz w:val="21"/>
                                    <w:szCs w:val="21"/>
                                  </w:rPr>
                                  <w:t>位</w:t>
                                </w:r>
                                <w:r>
                                  <w:rPr>
                                    <w:rFonts w:hint="default" w:ascii="Times New Roman" w:hAnsi="Times New Roman" w:eastAsia="仿宋" w:cs="Times New Roman"/>
                                    <w:sz w:val="21"/>
                                    <w:szCs w:val="21"/>
                                  </w:rPr>
                                  <w:t>以0</w:t>
                                </w:r>
                                <w:r>
                                  <w:rPr>
                                    <w:rFonts w:ascii="Times New Roman" w:hAnsi="Times New Roman" w:eastAsia="仿宋" w:cs="Times New Roman"/>
                                    <w:sz w:val="21"/>
                                    <w:szCs w:val="21"/>
                                  </w:rPr>
                                  <w:t>补位</w:t>
                                </w:r>
                                <w:r>
                                  <w:rPr>
                                    <w:rFonts w:hint="eastAsia" w:ascii="Times New Roman" w:hAnsi="Times New Roman" w:eastAsia="仿宋" w:cs="Times New Roman"/>
                                    <w:sz w:val="21"/>
                                    <w:szCs w:val="21"/>
                                    <w:lang w:eastAsia="zh-CN"/>
                                  </w:rPr>
                                  <w:t>。</w:t>
                                </w:r>
                              </w:p>
                            </w:txbxContent>
                          </wps:txbx>
                          <wps:bodyPr rot="0" vert="horz" wrap="square" lIns="91440" tIns="45720" rIns="91440" bIns="45720" anchor="t" anchorCtr="0" upright="1">
                            <a:noAutofit/>
                          </wps:bodyPr>
                        </wps:wsp>
                      </wpg:grpSp>
                    </wpg:wgp>
                  </a:graphicData>
                </a:graphic>
              </wp:anchor>
            </w:drawing>
          </mc:Choice>
          <mc:Fallback>
            <w:pict>
              <v:group id="组合 15" o:spid="_x0000_s1026" o:spt="203" style="position:absolute;left:0pt;margin-left:-1.55pt;margin-top:6.75pt;height:425pt;width:457.2pt;mso-wrap-distance-bottom:0pt;mso-wrap-distance-top:0pt;z-index:251660288;mso-width-relative:page;mso-height-relative:page;" coordorigin="0,-11430" coordsize="5806440,4409289" o:gfxdata="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&#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">
                <o:lock v:ext="edit" rotation="t" aspectratio="f"/>
                <v:shape id="_x0000_s1026" o:spid="_x0000_s1026" o:spt="202" type="#_x0000_t202" style="position:absolute;left:4819650;top:301370;height:1365842;width:986790;" fillcolor="#FFFFFF" filled="t" stroked="f" coordsize="21600,21600" o:gfxdata="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gt8frtwAAANoAAAAP&#10;AAAAAAAAAAEAIAAAACIAAABkcnMvZG93bnJldi54bWxQSwECFAAUAAAACACHTuJAMy8FnjsAAAA5&#10;AAAAEAAAAAAAAAABACAAAAAGAQAAZHJzL3NoYXBleG1sLnhtbFBLBQYAAAAABgAGAFsBAACwAwAA&#10;AAA=&#10;">
                  <v:fill on="t" focussize="0,0"/>
                  <v:stroke on="f"/>
                  <v:imagedata o:title=""/>
                  <o:lock v:ext="edit" aspectratio="f"/>
                  <v:textbox>
                    <w:txbxContent>
                      <w:p>
                        <w:pPr>
                          <w:keepNext w:val="0"/>
                          <w:keepLines w:val="0"/>
                          <w:pageBreakBefore w:val="0"/>
                          <w:widowControl w:val="0"/>
                          <w:kinsoku/>
                          <w:wordWrap/>
                          <w:overflowPunct/>
                          <w:topLinePunct w:val="0"/>
                          <w:bidi w:val="0"/>
                          <w:adjustRightInd/>
                          <w:snapToGrid/>
                          <w:spacing w:line="240" w:lineRule="auto"/>
                          <w:ind w:firstLine="210" w:firstLineChars="100"/>
                          <w:textAlignment w:val="auto"/>
                          <w:rPr>
                            <w:rFonts w:hint="eastAsia" w:ascii="Times New Roman" w:hAnsi="Times New Roman" w:eastAsia="仿宋" w:cs="Times New Roman"/>
                            <w:sz w:val="21"/>
                            <w:szCs w:val="21"/>
                          </w:rPr>
                        </w:pPr>
                        <w:r>
                          <w:rPr>
                            <w:rFonts w:ascii="Times New Roman" w:hAnsi="Times New Roman" w:eastAsia="仿宋" w:cs="Times New Roman"/>
                            <w:sz w:val="21"/>
                            <w:szCs w:val="21"/>
                          </w:rPr>
                          <w:t>多场所组织的子证书</w:t>
                        </w:r>
                        <w:r>
                          <w:rPr>
                            <w:rFonts w:hint="eastAsia" w:ascii="Times New Roman" w:hAnsi="Times New Roman" w:eastAsia="仿宋" w:cs="Times New Roman"/>
                            <w:sz w:val="21"/>
                            <w:szCs w:val="21"/>
                            <w:lang w:eastAsia="zh-CN"/>
                          </w:rPr>
                          <w:t>编</w:t>
                        </w:r>
                        <w:r>
                          <w:rPr>
                            <w:rFonts w:ascii="Times New Roman" w:hAnsi="Times New Roman" w:eastAsia="仿宋" w:cs="Times New Roman"/>
                            <w:sz w:val="21"/>
                            <w:szCs w:val="21"/>
                          </w:rPr>
                          <w:t>号应与</w:t>
                        </w:r>
                        <w:r>
                          <w:rPr>
                            <w:rFonts w:hint="eastAsia" w:ascii="Times New Roman" w:hAnsi="Times New Roman" w:eastAsia="仿宋" w:cs="Times New Roman"/>
                            <w:sz w:val="21"/>
                            <w:szCs w:val="21"/>
                            <w:lang w:eastAsia="zh-CN"/>
                          </w:rPr>
                          <w:t>主证书的编号相关</w:t>
                        </w:r>
                        <w:r>
                          <w:rPr>
                            <w:rFonts w:hint="default" w:ascii="Times New Roman" w:hAnsi="Times New Roman" w:eastAsia="仿宋" w:cs="Times New Roman"/>
                            <w:sz w:val="21"/>
                            <w:szCs w:val="21"/>
                          </w:rPr>
                          <w:t>，</w:t>
                        </w:r>
                        <w:r>
                          <w:rPr>
                            <w:rFonts w:ascii="Times New Roman" w:hAnsi="Times New Roman" w:eastAsia="仿宋" w:cs="Times New Roman"/>
                            <w:sz w:val="21"/>
                            <w:szCs w:val="21"/>
                          </w:rPr>
                          <w:t>在</w:t>
                        </w:r>
                        <w:r>
                          <w:rPr>
                            <w:rFonts w:hint="eastAsia" w:ascii="Times New Roman" w:hAnsi="Times New Roman" w:eastAsia="仿宋" w:cs="Times New Roman"/>
                            <w:sz w:val="21"/>
                            <w:szCs w:val="21"/>
                            <w:lang w:eastAsia="zh-CN"/>
                          </w:rPr>
                          <w:t>主证书编号</w:t>
                        </w:r>
                        <w:r>
                          <w:rPr>
                            <w:rFonts w:ascii="Times New Roman" w:hAnsi="Times New Roman" w:eastAsia="仿宋" w:cs="Times New Roman"/>
                            <w:sz w:val="21"/>
                            <w:szCs w:val="21"/>
                          </w:rPr>
                          <w:t>后加子证书</w:t>
                        </w:r>
                        <w:r>
                          <w:rPr>
                            <w:rFonts w:hint="eastAsia" w:ascii="Times New Roman" w:hAnsi="Times New Roman" w:eastAsia="仿宋" w:cs="Times New Roman"/>
                            <w:sz w:val="21"/>
                            <w:szCs w:val="21"/>
                            <w:lang w:eastAsia="zh-CN"/>
                          </w:rPr>
                          <w:t>序</w:t>
                        </w:r>
                        <w:r>
                          <w:rPr>
                            <w:rFonts w:ascii="Times New Roman" w:hAnsi="Times New Roman" w:eastAsia="仿宋" w:cs="Times New Roman"/>
                            <w:sz w:val="21"/>
                            <w:szCs w:val="21"/>
                          </w:rPr>
                          <w:t>号：-1，-2，</w:t>
                        </w:r>
                        <w:r>
                          <w:rPr>
                            <w:rFonts w:hint="eastAsia" w:ascii="Times New Roman" w:hAnsi="Times New Roman" w:eastAsia="仿宋" w:cs="Times New Roman"/>
                            <w:sz w:val="21"/>
                            <w:szCs w:val="21"/>
                            <w:lang w:eastAsia="zh-CN"/>
                          </w:rPr>
                          <w:t>……</w:t>
                        </w:r>
                      </w:p>
                    </w:txbxContent>
                  </v:textbox>
                </v:shape>
                <v:group id="组合 11" o:spid="_x0000_s1026" o:spt="203" style="position:absolute;left:4105275;top:7620;height:2428740;width:1609725;" coordorigin="-76200,7620" coordsize="1609725,2428823"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line id="直线 7" o:spid="_x0000_s1026" o:spt="20" style="position:absolute;left:537210;top:7620;height:1665212;width:4445;" filled="f" stroked="t" coordsize="21600,21600" o:gfxdata="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3LBy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shape id="文本框 2" o:spid="_x0000_s1026" o:spt="202" type="#_x0000_t202" style="position:absolute;left:-76200;top:1719520;height:716923;width:1609725;" fillcolor="#FFFFFF" filled="t" stroked="f" coordsize="21600,21600" o:gfxdata="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Xl+ftwAAANoAAAAP&#10;AAAAAAAAAAEAIAAAACIAAABkcnMvZG93bnJldi54bWxQSwECFAAUAAAACACHTuJAMy8FnjsAAAA5&#10;AAAAEAAAAAAAAAABACAAAAAGAQAAZHJzL3NoYXBleG1sLnhtbFBLBQYAAAAABgAGAFsBAACwAwAA&#10;AAA=&#10;">
                    <v:fill on="t" focussize="0,0"/>
                    <v:stroke on="f"/>
                    <v:imagedata o:title=""/>
                    <o:lock v:ext="edit" aspectratio="f"/>
                    <v:textbox>
                      <w:txbxContent>
                        <w:p>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cs="Times New Roman"/>
                              <w:sz w:val="21"/>
                              <w:szCs w:val="21"/>
                            </w:rPr>
                          </w:pPr>
                          <w:r>
                            <w:rPr>
                              <w:rFonts w:ascii="Times New Roman" w:hAnsi="Times New Roman" w:eastAsia="仿宋" w:cs="Times New Roman"/>
                              <w:spacing w:val="-2"/>
                              <w:sz w:val="21"/>
                              <w:szCs w:val="21"/>
                            </w:rPr>
                            <w:t>通过认可</w:t>
                          </w:r>
                          <w:r>
                            <w:rPr>
                              <w:rFonts w:hint="eastAsia" w:ascii="Times New Roman" w:hAnsi="Times New Roman" w:eastAsia="仿宋" w:cs="Times New Roman"/>
                              <w:spacing w:val="-2"/>
                              <w:sz w:val="21"/>
                              <w:szCs w:val="21"/>
                              <w:lang w:val="en-US" w:eastAsia="zh-CN"/>
                            </w:rPr>
                            <w:t>的填写</w:t>
                          </w:r>
                          <w:r>
                            <w:rPr>
                              <w:rFonts w:ascii="Times New Roman" w:hAnsi="Times New Roman" w:eastAsia="仿宋" w:cs="Times New Roman"/>
                              <w:spacing w:val="-2"/>
                              <w:sz w:val="21"/>
                              <w:szCs w:val="21"/>
                            </w:rPr>
                            <w:t>认可机构代码，</w:t>
                          </w:r>
                          <w:r>
                            <w:rPr>
                              <w:rFonts w:ascii="Times New Roman" w:hAnsi="Times New Roman" w:eastAsia="仿宋" w:cs="Times New Roman"/>
                              <w:spacing w:val="-8"/>
                              <w:sz w:val="21"/>
                              <w:szCs w:val="21"/>
                            </w:rPr>
                            <w:t>未</w:t>
                          </w:r>
                          <w:r>
                            <w:rPr>
                              <w:rFonts w:hint="eastAsia" w:ascii="Times New Roman" w:hAnsi="Times New Roman" w:eastAsia="仿宋" w:cs="Times New Roman"/>
                              <w:spacing w:val="-8"/>
                              <w:sz w:val="21"/>
                              <w:szCs w:val="21"/>
                              <w:lang w:val="en-US" w:eastAsia="zh-CN"/>
                            </w:rPr>
                            <w:t>通过认可代码为“00”</w:t>
                          </w:r>
                          <w:r>
                            <w:rPr>
                              <w:rFonts w:hint="eastAsia" w:ascii="Times New Roman" w:hAnsi="Times New Roman" w:eastAsia="仿宋" w:cs="Times New Roman"/>
                              <w:spacing w:val="-8"/>
                              <w:sz w:val="21"/>
                              <w:szCs w:val="21"/>
                              <w:lang w:eastAsia="zh-CN"/>
                            </w:rPr>
                            <w:t>。</w:t>
                          </w:r>
                        </w:p>
                      </w:txbxContent>
                    </v:textbox>
                  </v:shape>
                </v:group>
                <v:group id="组合 14" o:spid="_x0000_s1026" o:spt="203" style="position:absolute;left:3181350;top:0;height:3135765;width:2409825;" coordorigin="-28575,0" coordsize="2409825,3136145"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line id="直线 5" o:spid="_x0000_s1026" o:spt="20" style="position:absolute;left:617220;top:0;height:2447193;width:635;" filled="f" stroked="t" coordsize="21600,21600" o:gfxdata="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lsmu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shape id="文本框 2" o:spid="_x0000_s1026" o:spt="202" type="#_x0000_t202" style="position:absolute;left:-28575;top:2473115;height:663030;width:2409825;" fillcolor="#FFFFFF" filled="t" stroked="f" coordsize="21600,21600" o:gfxdata="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AV/wAbUAAADaAAAADwAA&#10;AAAAAAABACAAAAAiAAAAZHJzL2Rvd25yZXYueG1sUEsBAhQAFAAAAAgAh07iQDMvBZ47AAAAOQAA&#10;ABAAAAAAAAAAAQAgAAAABAEAAGRycy9zaGFwZXhtbC54bWxQSwUGAAAAAAYABgBbAQAArgMAAAAA&#10;">
                    <v:fill on="t" focussize="0,0"/>
                    <v:stroke on="f"/>
                    <v:imagedata o:title=""/>
                    <o:lock v:ext="edit" aspectratio="f"/>
                    <v:textbox>
                      <w:txbxContent>
                        <w:p>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仿宋" w:cs="Times New Roman"/>
                              <w:sz w:val="21"/>
                              <w:szCs w:val="21"/>
                            </w:rPr>
                          </w:pPr>
                          <w:r>
                            <w:rPr>
                              <w:rFonts w:ascii="Times New Roman" w:hAnsi="Times New Roman" w:eastAsia="仿宋" w:cs="Times New Roman"/>
                              <w:spacing w:val="-6"/>
                              <w:sz w:val="21"/>
                              <w:szCs w:val="21"/>
                            </w:rPr>
                            <w:t>后缀表示初次认证或再认证换证号：初次认证为</w:t>
                          </w:r>
                          <w:r>
                            <w:rPr>
                              <w:rFonts w:ascii="Times New Roman" w:hAnsi="Times New Roman" w:eastAsia="仿宋" w:cs="Times New Roman"/>
                              <w:sz w:val="21"/>
                              <w:szCs w:val="21"/>
                            </w:rPr>
                            <w:t>R0</w:t>
                          </w:r>
                          <w:r>
                            <w:rPr>
                              <w:rFonts w:hint="default" w:ascii="Times New Roman" w:hAnsi="Times New Roman" w:eastAsia="仿宋" w:cs="Times New Roman"/>
                              <w:sz w:val="21"/>
                              <w:szCs w:val="21"/>
                            </w:rPr>
                            <w:t>，</w:t>
                          </w:r>
                          <w:r>
                            <w:rPr>
                              <w:rFonts w:ascii="Times New Roman" w:hAnsi="Times New Roman" w:eastAsia="仿宋" w:cs="Times New Roman"/>
                              <w:spacing w:val="-9"/>
                              <w:sz w:val="21"/>
                              <w:szCs w:val="21"/>
                            </w:rPr>
                            <w:t>第一</w:t>
                          </w:r>
                          <w:r>
                            <w:rPr>
                              <w:rFonts w:ascii="Times New Roman" w:hAnsi="Times New Roman" w:eastAsia="仿宋" w:cs="Times New Roman"/>
                              <w:sz w:val="21"/>
                              <w:szCs w:val="21"/>
                            </w:rPr>
                            <w:t>次再认证换证为R1，第二次再认证换证为R2，</w:t>
                          </w:r>
                          <w:r>
                            <w:rPr>
                              <w:rFonts w:hint="eastAsia" w:ascii="Times New Roman" w:hAnsi="Times New Roman" w:eastAsia="仿宋" w:cs="Times New Roman"/>
                              <w:sz w:val="21"/>
                              <w:szCs w:val="21"/>
                              <w:lang w:eastAsia="zh-CN"/>
                            </w:rPr>
                            <w:t>……</w:t>
                          </w:r>
                        </w:p>
                      </w:txbxContent>
                    </v:textbox>
                  </v:shape>
                </v:group>
                <v:group id="组合 15" o:spid="_x0000_s1026" o:spt="203" style="position:absolute;left:2495550;top:30480;height:3466846;width:3200400;" coordorigin="-28580,30481" coordsize="3200964,346697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line id="直线 4" o:spid="_x0000_s1026" o:spt="20" style="position:absolute;left:430606;top:30481;height:2999466;width:15878;" filled="f" stroked="t" coordsize="21600,21600" o:gfxdata="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zzQq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shape id="文本框 2" o:spid="_x0000_s1026" o:spt="202" type="#_x0000_t202" style="position:absolute;left:-28580;top:3026423;height:471033;width:3200964;" fillcolor="#FFFFFF" filled="t" stroked="f" coordsize="21600,21600" o:gfxdata="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0eDem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仿宋" w:cs="Times New Roman"/>
                              <w:sz w:val="21"/>
                              <w:szCs w:val="21"/>
                            </w:rPr>
                          </w:pPr>
                          <w:r>
                            <w:rPr>
                              <w:rFonts w:ascii="Times New Roman" w:hAnsi="Times New Roman" w:eastAsia="仿宋" w:cs="Times New Roman"/>
                              <w:sz w:val="21"/>
                              <w:szCs w:val="21"/>
                            </w:rPr>
                            <w:t>一个认证机构当年发出</w:t>
                          </w:r>
                          <w:r>
                            <w:rPr>
                              <w:rFonts w:hint="default" w:ascii="Times New Roman" w:hAnsi="Times New Roman" w:eastAsia="仿宋" w:cs="Times New Roman"/>
                              <w:sz w:val="21"/>
                              <w:szCs w:val="21"/>
                            </w:rPr>
                            <w:t>Q</w:t>
                          </w:r>
                          <w:r>
                            <w:rPr>
                              <w:rFonts w:ascii="Times New Roman" w:hAnsi="Times New Roman" w:eastAsia="仿宋" w:cs="Times New Roman"/>
                              <w:sz w:val="21"/>
                              <w:szCs w:val="21"/>
                            </w:rPr>
                            <w:t>MS</w:t>
                          </w:r>
                          <w:r>
                            <w:rPr>
                              <w:rFonts w:hint="default" w:ascii="Times New Roman" w:hAnsi="Times New Roman" w:eastAsia="仿宋" w:cs="Times New Roman"/>
                              <w:sz w:val="21"/>
                              <w:szCs w:val="21"/>
                            </w:rPr>
                            <w:t>认证</w:t>
                          </w:r>
                          <w:r>
                            <w:rPr>
                              <w:rFonts w:ascii="Times New Roman" w:hAnsi="Times New Roman" w:eastAsia="仿宋" w:cs="Times New Roman"/>
                              <w:sz w:val="21"/>
                              <w:szCs w:val="21"/>
                            </w:rPr>
                            <w:t>证书的顺序累计号：00</w:t>
                          </w:r>
                          <w:r>
                            <w:rPr>
                              <w:rFonts w:hint="default" w:ascii="Times New Roman" w:hAnsi="Times New Roman" w:eastAsia="仿宋" w:cs="Times New Roman"/>
                              <w:sz w:val="21"/>
                              <w:szCs w:val="21"/>
                            </w:rPr>
                            <w:t>0</w:t>
                          </w:r>
                          <w:r>
                            <w:rPr>
                              <w:rFonts w:hint="eastAsia" w:ascii="Times New Roman" w:hAnsi="Times New Roman" w:eastAsia="仿宋" w:cs="Times New Roman"/>
                              <w:sz w:val="21"/>
                              <w:szCs w:val="21"/>
                              <w:lang w:val="en-US" w:eastAsia="zh-CN"/>
                            </w:rPr>
                            <w:t>0</w:t>
                          </w:r>
                          <w:r>
                            <w:rPr>
                              <w:rFonts w:ascii="Times New Roman" w:hAnsi="Times New Roman" w:eastAsia="仿宋" w:cs="Times New Roman"/>
                              <w:sz w:val="21"/>
                              <w:szCs w:val="21"/>
                            </w:rPr>
                            <w:t>1，0</w:t>
                          </w:r>
                          <w:r>
                            <w:rPr>
                              <w:rFonts w:hint="default" w:ascii="Times New Roman" w:hAnsi="Times New Roman" w:eastAsia="仿宋" w:cs="Times New Roman"/>
                              <w:sz w:val="21"/>
                              <w:szCs w:val="21"/>
                            </w:rPr>
                            <w:t>0</w:t>
                          </w:r>
                          <w:r>
                            <w:rPr>
                              <w:rFonts w:ascii="Times New Roman" w:hAnsi="Times New Roman" w:eastAsia="仿宋" w:cs="Times New Roman"/>
                              <w:sz w:val="21"/>
                              <w:szCs w:val="21"/>
                            </w:rPr>
                            <w:t>0</w:t>
                          </w:r>
                          <w:r>
                            <w:rPr>
                              <w:rFonts w:hint="eastAsia" w:ascii="Times New Roman" w:hAnsi="Times New Roman" w:eastAsia="仿宋" w:cs="Times New Roman"/>
                              <w:sz w:val="21"/>
                              <w:szCs w:val="21"/>
                              <w:lang w:val="en-US" w:eastAsia="zh-CN"/>
                            </w:rPr>
                            <w:t>0</w:t>
                          </w:r>
                          <w:r>
                            <w:rPr>
                              <w:rFonts w:ascii="Times New Roman" w:hAnsi="Times New Roman" w:eastAsia="仿宋" w:cs="Times New Roman"/>
                              <w:sz w:val="21"/>
                              <w:szCs w:val="21"/>
                            </w:rPr>
                            <w:t>2，</w:t>
                          </w:r>
                          <w:r>
                            <w:rPr>
                              <w:rFonts w:hint="eastAsia" w:ascii="Times New Roman" w:hAnsi="Times New Roman" w:eastAsia="仿宋" w:cs="Times New Roman"/>
                              <w:sz w:val="21"/>
                              <w:szCs w:val="21"/>
                              <w:lang w:eastAsia="zh-CN"/>
                            </w:rPr>
                            <w:t>……</w:t>
                          </w:r>
                        </w:p>
                      </w:txbxContent>
                    </v:textbox>
                  </v:shape>
                </v:group>
                <v:group id="组合 17" o:spid="_x0000_s1026" o:spt="203" style="position:absolute;left:1752600;top:-7620;height:3707256;width:3600450;" coordorigin="-28580,-7621" coordsize="3601084,3707731"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line id="直线 6" o:spid="_x0000_s1026" o:spt="20" style="position:absolute;left:408376;top:-7621;flip:x;height:3417897;width:10797;" filled="f" stroked="t" coordsize="21600,21600" o:gfxdata="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bgcPW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shape id="文本框 2" o:spid="_x0000_s1026" o:spt="202" type="#_x0000_t202" style="position:absolute;left:-28580;top:3420473;height:279637;width:3601084;" fillcolor="#FFFFFF" filled="t" stroked="f" coordsize="21600,21600" o:gfxdata="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1prnG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仿宋" w:cs="Times New Roman"/>
                              <w:sz w:val="21"/>
                              <w:szCs w:val="21"/>
                            </w:rPr>
                          </w:pPr>
                          <w:r>
                            <w:rPr>
                              <w:rFonts w:hint="default" w:ascii="Times New Roman" w:hAnsi="Times New Roman" w:eastAsia="仿宋" w:cs="Times New Roman"/>
                              <w:sz w:val="21"/>
                              <w:szCs w:val="21"/>
                            </w:rPr>
                            <w:t>认证</w:t>
                          </w:r>
                          <w:r>
                            <w:rPr>
                              <w:rFonts w:ascii="Times New Roman" w:hAnsi="Times New Roman" w:eastAsia="仿宋" w:cs="Times New Roman"/>
                              <w:sz w:val="21"/>
                              <w:szCs w:val="21"/>
                            </w:rPr>
                            <w:t>证书所属</w:t>
                          </w:r>
                          <w:r>
                            <w:rPr>
                              <w:rFonts w:hint="default" w:ascii="Times New Roman" w:hAnsi="Times New Roman" w:eastAsia="仿宋" w:cs="Times New Roman"/>
                              <w:sz w:val="21"/>
                              <w:szCs w:val="21"/>
                              <w:lang w:val="en-US" w:eastAsia="zh-CN"/>
                            </w:rPr>
                            <w:t>领域</w:t>
                          </w:r>
                          <w:r>
                            <w:rPr>
                              <w:rFonts w:ascii="Times New Roman" w:hAnsi="Times New Roman" w:eastAsia="仿宋" w:cs="Times New Roman"/>
                              <w:sz w:val="21"/>
                              <w:szCs w:val="21"/>
                            </w:rPr>
                            <w:t>代号：</w:t>
                          </w:r>
                          <w:r>
                            <w:rPr>
                              <w:rFonts w:hint="default" w:ascii="Times New Roman" w:hAnsi="Times New Roman" w:eastAsia="仿宋" w:cs="Times New Roman"/>
                              <w:sz w:val="21"/>
                              <w:szCs w:val="21"/>
                            </w:rPr>
                            <w:t>Q</w:t>
                          </w:r>
                          <w:r>
                            <w:rPr>
                              <w:rFonts w:ascii="Times New Roman" w:hAnsi="Times New Roman" w:eastAsia="仿宋" w:cs="Times New Roman"/>
                              <w:sz w:val="21"/>
                              <w:szCs w:val="21"/>
                            </w:rPr>
                            <w:t>为</w:t>
                          </w:r>
                          <w:r>
                            <w:rPr>
                              <w:rFonts w:hint="default" w:ascii="Times New Roman" w:hAnsi="Times New Roman" w:eastAsia="仿宋" w:cs="Times New Roman"/>
                              <w:sz w:val="21"/>
                              <w:szCs w:val="21"/>
                            </w:rPr>
                            <w:t>Q</w:t>
                          </w:r>
                          <w:r>
                            <w:rPr>
                              <w:rFonts w:ascii="Times New Roman" w:hAnsi="Times New Roman" w:eastAsia="仿宋" w:cs="Times New Roman"/>
                              <w:sz w:val="21"/>
                              <w:szCs w:val="21"/>
                            </w:rPr>
                            <w:t>MS</w:t>
                          </w:r>
                          <w:r>
                            <w:rPr>
                              <w:rFonts w:hint="eastAsia" w:ascii="Times New Roman" w:hAnsi="Times New Roman" w:eastAsia="仿宋" w:cs="Times New Roman"/>
                              <w:sz w:val="21"/>
                              <w:szCs w:val="21"/>
                              <w:lang w:eastAsia="zh-CN"/>
                            </w:rPr>
                            <w:t>。</w:t>
                          </w:r>
                        </w:p>
                      </w:txbxContent>
                    </v:textbox>
                  </v:shape>
                </v:group>
                <v:group id="组合 20" o:spid="_x0000_s1026" o:spt="203" style="position:absolute;left:962025;top:-10911;height:3938273;width:3600450;" coordorigin="123825,-20438" coordsize="3600450,3938717"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line id="直线 3" o:spid="_x0000_s1026" o:spt="20" style="position:absolute;left:436880;top:-20438;flip:x;height:3638852;width:28575;" filled="f" stroked="t" coordsize="21600,21600" o:gfxdata="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aX022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shape id="文本框 2" o:spid="_x0000_s1026" o:spt="202" type="#_x0000_t202" style="position:absolute;left:123825;top:3638647;height:279632;width:3600450;" fillcolor="#FFFFFF" filled="t" stroked="f" coordsize="21600,21600" o:gfxdata="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w+Ys+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spacing w:line="240" w:lineRule="auto"/>
                            <w:rPr>
                              <w:rFonts w:hint="eastAsia" w:ascii="Times New Roman" w:hAnsi="Times New Roman" w:eastAsia="仿宋" w:cs="Times New Roman"/>
                              <w:sz w:val="21"/>
                              <w:szCs w:val="21"/>
                            </w:rPr>
                          </w:pPr>
                          <w:r>
                            <w:rPr>
                              <w:rFonts w:hint="default" w:ascii="Times New Roman" w:hAnsi="Times New Roman" w:eastAsia="仿宋" w:cs="Times New Roman"/>
                              <w:sz w:val="21"/>
                              <w:szCs w:val="21"/>
                            </w:rPr>
                            <w:t>认证</w:t>
                          </w:r>
                          <w:r>
                            <w:rPr>
                              <w:rFonts w:ascii="Times New Roman" w:hAnsi="Times New Roman" w:eastAsia="仿宋" w:cs="Times New Roman"/>
                              <w:sz w:val="21"/>
                              <w:szCs w:val="21"/>
                            </w:rPr>
                            <w:t>证书</w:t>
                          </w:r>
                          <w:r>
                            <w:rPr>
                              <w:rFonts w:hint="eastAsia" w:ascii="Times New Roman" w:hAnsi="Times New Roman" w:eastAsia="仿宋" w:cs="Times New Roman"/>
                              <w:sz w:val="21"/>
                              <w:szCs w:val="21"/>
                              <w:lang w:val="en-US" w:eastAsia="zh-CN"/>
                            </w:rPr>
                            <w:t>签发</w:t>
                          </w:r>
                          <w:r>
                            <w:rPr>
                              <w:rFonts w:ascii="Times New Roman" w:hAnsi="Times New Roman" w:eastAsia="仿宋" w:cs="Times New Roman"/>
                              <w:sz w:val="21"/>
                              <w:szCs w:val="21"/>
                            </w:rPr>
                            <w:t>年份：2</w:t>
                          </w:r>
                          <w:r>
                            <w:rPr>
                              <w:rFonts w:hint="default" w:ascii="Times New Roman" w:hAnsi="Times New Roman" w:eastAsia="仿宋" w:cs="Times New Roman"/>
                              <w:sz w:val="21"/>
                              <w:szCs w:val="21"/>
                              <w:lang w:val="en-US" w:eastAsia="zh-CN"/>
                            </w:rPr>
                            <w:t>5</w:t>
                          </w:r>
                          <w:r>
                            <w:rPr>
                              <w:rFonts w:ascii="Times New Roman" w:hAnsi="Times New Roman" w:eastAsia="仿宋" w:cs="Times New Roman"/>
                              <w:sz w:val="21"/>
                              <w:szCs w:val="21"/>
                            </w:rPr>
                            <w:t>-202</w:t>
                          </w:r>
                          <w:r>
                            <w:rPr>
                              <w:rFonts w:hint="default" w:ascii="Times New Roman" w:hAnsi="Times New Roman" w:eastAsia="仿宋" w:cs="Times New Roman"/>
                              <w:sz w:val="21"/>
                              <w:szCs w:val="21"/>
                              <w:lang w:val="en-US" w:eastAsia="zh-CN"/>
                            </w:rPr>
                            <w:t>5</w:t>
                          </w:r>
                          <w:r>
                            <w:rPr>
                              <w:rFonts w:ascii="Times New Roman" w:hAnsi="Times New Roman" w:eastAsia="仿宋" w:cs="Times New Roman"/>
                              <w:sz w:val="21"/>
                              <w:szCs w:val="21"/>
                            </w:rPr>
                            <w:t>，2</w:t>
                          </w:r>
                          <w:r>
                            <w:rPr>
                              <w:rFonts w:hint="default" w:ascii="Times New Roman" w:hAnsi="Times New Roman" w:eastAsia="仿宋" w:cs="Times New Roman"/>
                              <w:sz w:val="21"/>
                              <w:szCs w:val="21"/>
                              <w:lang w:val="en-US" w:eastAsia="zh-CN"/>
                            </w:rPr>
                            <w:t>6</w:t>
                          </w:r>
                          <w:r>
                            <w:rPr>
                              <w:rFonts w:ascii="Times New Roman" w:hAnsi="Times New Roman" w:eastAsia="仿宋" w:cs="Times New Roman"/>
                              <w:sz w:val="21"/>
                              <w:szCs w:val="21"/>
                            </w:rPr>
                            <w:t>-202</w:t>
                          </w:r>
                          <w:r>
                            <w:rPr>
                              <w:rFonts w:hint="default" w:ascii="Times New Roman" w:hAnsi="Times New Roman" w:eastAsia="仿宋" w:cs="Times New Roman"/>
                              <w:sz w:val="21"/>
                              <w:szCs w:val="21"/>
                              <w:lang w:val="en-US" w:eastAsia="zh-CN"/>
                            </w:rPr>
                            <w:t>6</w:t>
                          </w:r>
                          <w:r>
                            <w:rPr>
                              <w:rFonts w:ascii="Times New Roman" w:hAnsi="Times New Roman" w:eastAsia="仿宋" w:cs="Times New Roman"/>
                              <w:sz w:val="21"/>
                              <w:szCs w:val="21"/>
                            </w:rPr>
                            <w:t>，</w:t>
                          </w:r>
                          <w:r>
                            <w:rPr>
                              <w:rFonts w:hint="eastAsia" w:ascii="Times New Roman" w:hAnsi="Times New Roman" w:eastAsia="仿宋" w:cs="Times New Roman"/>
                              <w:sz w:val="21"/>
                              <w:szCs w:val="21"/>
                              <w:lang w:eastAsia="zh-CN"/>
                            </w:rPr>
                            <w:t>……</w:t>
                          </w:r>
                        </w:p>
                      </w:txbxContent>
                    </v:textbox>
                  </v:shape>
                </v:group>
                <v:group id="组合 21" o:spid="_x0000_s1026" o:spt="203" style="position:absolute;left:0;top:-11430;height:4409289;width:5677535;" coordorigin="-95250,-68594" coordsize="5677535,4410184"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line id="直线 2" o:spid="_x0000_s1026" o:spt="20" style="position:absolute;left:318135;top:-68594;height:3935960;width:4445;" filled="f" stroked="t" coordsize="21600,21600" o:gfxdata="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ChGK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shape id="文本框 2" o:spid="_x0000_s1026" o:spt="202" type="#_x0000_t202" style="position:absolute;left:-95250;top:3869960;height:471630;width:5677535;" fillcolor="#FFFFFF" filled="t" stroked="f" coordsize="21600,21600" o:gfxdata="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EnBV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spacing w:line="240" w:lineRule="auto"/>
                            <w:rPr>
                              <w:rFonts w:ascii="Times New Roman" w:hAnsi="Times New Roman"/>
                              <w:sz w:val="21"/>
                              <w:szCs w:val="21"/>
                            </w:rPr>
                          </w:pPr>
                          <w:r>
                            <w:rPr>
                              <w:rFonts w:hint="eastAsia" w:ascii="Times New Roman" w:hAnsi="Times New Roman" w:eastAsia="仿宋" w:cs="Times New Roman"/>
                              <w:sz w:val="21"/>
                              <w:szCs w:val="21"/>
                              <w:lang w:val="en-US" w:eastAsia="zh-CN"/>
                            </w:rPr>
                            <w:t>内资认证机构为</w:t>
                          </w:r>
                          <w:r>
                            <w:rPr>
                              <w:rFonts w:ascii="Times New Roman" w:hAnsi="Times New Roman" w:eastAsia="仿宋" w:cs="Times New Roman"/>
                              <w:sz w:val="21"/>
                              <w:szCs w:val="21"/>
                            </w:rPr>
                            <w:t>认证机构批准号后三/四位数字</w:t>
                          </w:r>
                          <w:r>
                            <w:rPr>
                              <w:rFonts w:hint="eastAsia" w:ascii="Times New Roman" w:hAnsi="Times New Roman" w:eastAsia="仿宋" w:cs="Times New Roman"/>
                              <w:sz w:val="21"/>
                              <w:szCs w:val="21"/>
                              <w:lang w:val="en-US" w:eastAsia="zh-CN"/>
                            </w:rPr>
                            <w:t>批准</w:t>
                          </w:r>
                          <w:r>
                            <w:rPr>
                              <w:rFonts w:ascii="Times New Roman" w:hAnsi="Times New Roman" w:eastAsia="仿宋" w:cs="Times New Roman"/>
                              <w:sz w:val="21"/>
                              <w:szCs w:val="21"/>
                            </w:rPr>
                            <w:t>流水号</w:t>
                          </w:r>
                          <w:r>
                            <w:rPr>
                              <w:rFonts w:hint="eastAsia" w:ascii="Times New Roman" w:hAnsi="Times New Roman" w:eastAsia="仿宋" w:cs="Times New Roman"/>
                              <w:sz w:val="21"/>
                              <w:szCs w:val="21"/>
                              <w:lang w:eastAsia="zh-CN"/>
                            </w:rPr>
                            <w:t>；</w:t>
                          </w:r>
                          <w:r>
                            <w:rPr>
                              <w:rFonts w:ascii="Times New Roman" w:hAnsi="Times New Roman" w:eastAsia="仿宋" w:cs="Times New Roman"/>
                              <w:sz w:val="21"/>
                              <w:szCs w:val="21"/>
                            </w:rPr>
                            <w:t>外资</w:t>
                          </w:r>
                          <w:r>
                            <w:rPr>
                              <w:rFonts w:hint="eastAsia" w:ascii="Times New Roman" w:hAnsi="Times New Roman" w:eastAsia="仿宋" w:cs="Times New Roman"/>
                              <w:sz w:val="21"/>
                              <w:szCs w:val="21"/>
                              <w:lang w:val="en-US" w:eastAsia="zh-CN"/>
                            </w:rPr>
                            <w:t>认证</w:t>
                          </w:r>
                          <w:r>
                            <w:rPr>
                              <w:rFonts w:ascii="Times New Roman" w:hAnsi="Times New Roman" w:eastAsia="仿宋" w:cs="Times New Roman"/>
                              <w:sz w:val="21"/>
                              <w:szCs w:val="21"/>
                            </w:rPr>
                            <w:t>机构</w:t>
                          </w:r>
                          <w:r>
                            <w:rPr>
                              <w:rFonts w:hint="eastAsia" w:ascii="Times New Roman" w:hAnsi="Times New Roman" w:eastAsia="仿宋" w:cs="Times New Roman"/>
                              <w:sz w:val="21"/>
                              <w:szCs w:val="21"/>
                              <w:lang w:val="en-US" w:eastAsia="zh-CN"/>
                            </w:rPr>
                            <w:t>为</w:t>
                          </w:r>
                          <w:r>
                            <w:rPr>
                              <w:rFonts w:ascii="Times New Roman" w:hAnsi="Times New Roman" w:eastAsia="仿宋" w:cs="Times New Roman"/>
                              <w:sz w:val="21"/>
                              <w:szCs w:val="21"/>
                            </w:rPr>
                            <w:t>F</w:t>
                          </w:r>
                          <w:r>
                            <w:rPr>
                              <w:rFonts w:hint="default" w:ascii="Times New Roman" w:hAnsi="Times New Roman" w:eastAsia="仿宋" w:cs="Times New Roman"/>
                              <w:sz w:val="21"/>
                              <w:szCs w:val="21"/>
                            </w:rPr>
                            <w:t>+</w:t>
                          </w:r>
                          <w:r>
                            <w:rPr>
                              <w:rFonts w:ascii="Times New Roman" w:hAnsi="Times New Roman" w:eastAsia="仿宋" w:cs="Times New Roman"/>
                              <w:sz w:val="21"/>
                              <w:szCs w:val="21"/>
                            </w:rPr>
                            <w:t>认证机构批准号后三数字</w:t>
                          </w:r>
                          <w:r>
                            <w:rPr>
                              <w:rFonts w:hint="eastAsia" w:ascii="Times New Roman" w:hAnsi="Times New Roman" w:eastAsia="仿宋" w:cs="Times New Roman"/>
                              <w:sz w:val="21"/>
                              <w:szCs w:val="21"/>
                              <w:lang w:val="en-US" w:eastAsia="zh-CN"/>
                            </w:rPr>
                            <w:t>批准</w:t>
                          </w:r>
                          <w:r>
                            <w:rPr>
                              <w:rFonts w:ascii="Times New Roman" w:hAnsi="Times New Roman" w:eastAsia="仿宋" w:cs="Times New Roman"/>
                              <w:sz w:val="21"/>
                              <w:szCs w:val="21"/>
                            </w:rPr>
                            <w:t>流水号</w:t>
                          </w:r>
                          <w:r>
                            <w:rPr>
                              <w:rFonts w:hint="default" w:ascii="Times New Roman" w:hAnsi="Times New Roman" w:eastAsia="仿宋" w:cs="Times New Roman"/>
                              <w:sz w:val="21"/>
                              <w:szCs w:val="21"/>
                            </w:rPr>
                            <w:t>，不足三位的，首</w:t>
                          </w:r>
                          <w:r>
                            <w:rPr>
                              <w:rFonts w:ascii="Times New Roman" w:hAnsi="Times New Roman" w:eastAsia="仿宋" w:cs="Times New Roman"/>
                              <w:sz w:val="21"/>
                              <w:szCs w:val="21"/>
                            </w:rPr>
                            <w:t>位</w:t>
                          </w:r>
                          <w:r>
                            <w:rPr>
                              <w:rFonts w:hint="default" w:ascii="Times New Roman" w:hAnsi="Times New Roman" w:eastAsia="仿宋" w:cs="Times New Roman"/>
                              <w:sz w:val="21"/>
                              <w:szCs w:val="21"/>
                            </w:rPr>
                            <w:t>以0</w:t>
                          </w:r>
                          <w:r>
                            <w:rPr>
                              <w:rFonts w:ascii="Times New Roman" w:hAnsi="Times New Roman" w:eastAsia="仿宋" w:cs="Times New Roman"/>
                              <w:sz w:val="21"/>
                              <w:szCs w:val="21"/>
                            </w:rPr>
                            <w:t>补位</w:t>
                          </w:r>
                          <w:r>
                            <w:rPr>
                              <w:rFonts w:hint="eastAsia" w:ascii="Times New Roman" w:hAnsi="Times New Roman" w:eastAsia="仿宋" w:cs="Times New Roman"/>
                              <w:sz w:val="21"/>
                              <w:szCs w:val="21"/>
                              <w:lang w:eastAsia="zh-CN"/>
                            </w:rPr>
                            <w:t>。</w:t>
                          </w:r>
                        </w:p>
                      </w:txbxContent>
                    </v:textbox>
                  </v:shape>
                </v:group>
                <w10:wrap type="topAndBottom"/>
              </v:group>
            </w:pict>
          </mc:Fallback>
        </mc:AlternateContent>
      </w:r>
      <w:r>
        <w:rPr>
          <w:rFonts w:hint="eastAsia" w:ascii="仿宋_GB2312" w:hAnsi="仿宋_GB2312" w:eastAsia="仿宋_GB2312"/>
          <w:sz w:val="24"/>
          <w:szCs w:val="24"/>
          <w:shd w:val="clear" w:color="auto" w:fill="FFFFFF"/>
        </w:rPr>
        <w:t>注：认证机构批准号的编号格式为“CNCA-R/RF-年份-流水号”，其中R表示内资认证机构，RF表示外资认证机构，年份为4位阿拉伯数字，流水号是内资、外资</w:t>
      </w:r>
      <w:r>
        <w:rPr>
          <w:rFonts w:hint="eastAsia" w:ascii="Times New Roman" w:hAnsi="Times New Roman" w:cs="Times New Roman"/>
          <w:sz w:val="24"/>
          <w:szCs w:val="24"/>
          <w:shd w:val="clear" w:color="auto" w:fill="FFFFFF"/>
          <w:lang w:val="en-US" w:eastAsia="zh-CN"/>
        </w:rPr>
        <w:t>认证机构</w:t>
      </w:r>
      <w:r>
        <w:rPr>
          <w:rFonts w:hint="default" w:ascii="Times New Roman" w:hAnsi="Times New Roman" w:eastAsia="仿宋_GB2312" w:cs="Times New Roman"/>
          <w:sz w:val="24"/>
          <w:szCs w:val="24"/>
          <w:shd w:val="clear" w:color="auto" w:fill="FFFFFF"/>
        </w:rPr>
        <w:t>分别流水编号。内资认证机构</w:t>
      </w:r>
      <w:r>
        <w:rPr>
          <w:rFonts w:hint="eastAsia" w:ascii="Times New Roman" w:hAnsi="Times New Roman" w:cs="Times New Roman"/>
          <w:sz w:val="24"/>
          <w:szCs w:val="24"/>
          <w:shd w:val="clear" w:color="auto" w:fill="FFFFFF"/>
          <w:lang w:val="en-US" w:eastAsia="zh-CN"/>
        </w:rPr>
        <w:t>代码</w:t>
      </w:r>
      <w:r>
        <w:rPr>
          <w:rFonts w:hint="default" w:ascii="Times New Roman" w:hAnsi="Times New Roman" w:eastAsia="仿宋_GB2312" w:cs="Times New Roman"/>
          <w:sz w:val="24"/>
          <w:szCs w:val="24"/>
          <w:shd w:val="clear" w:color="auto" w:fill="FFFFFF"/>
        </w:rPr>
        <w:t>为</w:t>
      </w:r>
      <w:r>
        <w:rPr>
          <w:rFonts w:hint="eastAsia" w:ascii="Times New Roman" w:hAnsi="Times New Roman" w:cs="Times New Roman"/>
          <w:sz w:val="24"/>
          <w:szCs w:val="24"/>
          <w:shd w:val="clear" w:color="auto" w:fill="FFFFFF"/>
          <w:lang w:eastAsia="zh-CN"/>
        </w:rPr>
        <w:t>：</w:t>
      </w:r>
      <w:r>
        <w:rPr>
          <w:rFonts w:hint="default" w:ascii="Times New Roman" w:hAnsi="Times New Roman" w:eastAsia="仿宋_GB2312" w:cs="Times New Roman"/>
          <w:sz w:val="24"/>
          <w:szCs w:val="24"/>
          <w:shd w:val="clear" w:color="auto" w:fill="FFFFFF"/>
        </w:rPr>
        <w:t>该</w:t>
      </w:r>
      <w:r>
        <w:rPr>
          <w:rFonts w:hint="eastAsia" w:ascii="Times New Roman" w:hAnsi="Times New Roman" w:cs="Times New Roman"/>
          <w:sz w:val="24"/>
          <w:szCs w:val="24"/>
          <w:shd w:val="clear" w:color="auto" w:fill="FFFFFF"/>
          <w:lang w:val="en-US" w:eastAsia="zh-CN"/>
        </w:rPr>
        <w:t>认证</w:t>
      </w:r>
      <w:r>
        <w:rPr>
          <w:rFonts w:hint="default" w:ascii="Times New Roman" w:hAnsi="Times New Roman" w:eastAsia="仿宋_GB2312" w:cs="Times New Roman"/>
          <w:sz w:val="24"/>
          <w:szCs w:val="24"/>
          <w:shd w:val="clear" w:color="auto" w:fill="FFFFFF"/>
        </w:rPr>
        <w:t>机构批准号的3位或4位阿拉伯数字批准流水号；外资认证机构</w:t>
      </w:r>
      <w:r>
        <w:rPr>
          <w:rFonts w:hint="eastAsia" w:ascii="Times New Roman" w:hAnsi="Times New Roman" w:cs="Times New Roman"/>
          <w:sz w:val="24"/>
          <w:szCs w:val="24"/>
          <w:shd w:val="clear" w:color="auto" w:fill="FFFFFF"/>
          <w:lang w:val="en-US" w:eastAsia="zh-CN"/>
        </w:rPr>
        <w:t>代码</w:t>
      </w:r>
      <w:r>
        <w:rPr>
          <w:rFonts w:hint="default" w:ascii="Times New Roman" w:hAnsi="Times New Roman" w:eastAsia="仿宋_GB2312" w:cs="Times New Roman"/>
          <w:sz w:val="24"/>
          <w:szCs w:val="24"/>
          <w:shd w:val="clear" w:color="auto" w:fill="FFFFFF"/>
        </w:rPr>
        <w:t>为：F+</w:t>
      </w:r>
      <w:r>
        <w:rPr>
          <w:rFonts w:hint="eastAsia" w:ascii="Times New Roman" w:hAnsi="Times New Roman" w:cs="Times New Roman"/>
          <w:sz w:val="24"/>
          <w:szCs w:val="24"/>
          <w:shd w:val="clear" w:color="auto" w:fill="FFFFFF"/>
          <w:lang w:val="en-US" w:eastAsia="zh-CN"/>
        </w:rPr>
        <w:t>认证</w:t>
      </w:r>
      <w:r>
        <w:rPr>
          <w:rFonts w:hint="default" w:ascii="Times New Roman" w:hAnsi="Times New Roman" w:eastAsia="仿宋_GB2312" w:cs="Times New Roman"/>
          <w:sz w:val="24"/>
          <w:szCs w:val="24"/>
          <w:shd w:val="clear" w:color="auto" w:fill="FFFFFF"/>
        </w:rPr>
        <w:t>机构批准号的</w:t>
      </w:r>
      <w:r>
        <w:rPr>
          <w:rFonts w:hint="eastAsia" w:ascii="Times New Roman" w:hAnsi="Times New Roman" w:cs="Times New Roman"/>
          <w:sz w:val="24"/>
          <w:szCs w:val="24"/>
          <w:shd w:val="clear" w:color="auto" w:fill="FFFFFF"/>
          <w:lang w:val="en-US" w:eastAsia="zh-CN"/>
        </w:rPr>
        <w:t>后</w:t>
      </w:r>
      <w:r>
        <w:rPr>
          <w:rFonts w:hint="default" w:ascii="Times New Roman" w:hAnsi="Times New Roman" w:eastAsia="仿宋_GB2312" w:cs="Times New Roman"/>
          <w:sz w:val="24"/>
          <w:szCs w:val="24"/>
          <w:shd w:val="clear" w:color="auto" w:fill="FFFFFF"/>
        </w:rPr>
        <w:t>3位阿拉伯数字批准流水号</w:t>
      </w:r>
      <w:r>
        <w:rPr>
          <w:rFonts w:hint="eastAsia" w:ascii="Times New Roman" w:hAnsi="Times New Roman" w:cs="Times New Roman"/>
          <w:sz w:val="24"/>
          <w:szCs w:val="24"/>
          <w:shd w:val="clear" w:color="auto" w:fill="FFFFFF"/>
          <w:lang w:eastAsia="zh-CN"/>
        </w:rPr>
        <w:t>，不足</w:t>
      </w:r>
      <w:r>
        <w:rPr>
          <w:rFonts w:hint="eastAsia" w:ascii="Times New Roman" w:hAnsi="Times New Roman" w:cs="Times New Roman"/>
          <w:sz w:val="24"/>
          <w:szCs w:val="24"/>
          <w:shd w:val="clear" w:color="auto" w:fill="FFFFFF"/>
          <w:lang w:val="en-US" w:eastAsia="zh-CN"/>
        </w:rPr>
        <w:t>3</w:t>
      </w:r>
      <w:r>
        <w:rPr>
          <w:rFonts w:hint="eastAsia" w:ascii="Times New Roman" w:hAnsi="Times New Roman" w:cs="Times New Roman"/>
          <w:sz w:val="24"/>
          <w:szCs w:val="24"/>
          <w:shd w:val="clear" w:color="auto" w:fill="FFFFFF"/>
          <w:lang w:eastAsia="zh-CN"/>
        </w:rPr>
        <w:t>位的，首位以0补位</w:t>
      </w:r>
      <w:r>
        <w:rPr>
          <w:rFonts w:hint="default" w:ascii="Times New Roman" w:hAnsi="Times New Roman" w:eastAsia="仿宋_GB2312" w:cs="Times New Roman"/>
          <w:sz w:val="24"/>
          <w:szCs w:val="24"/>
          <w:shd w:val="clear" w:color="auto" w:fill="FFFFFF"/>
        </w:rPr>
        <w:t>。</w:t>
      </w:r>
    </w:p>
    <w:p>
      <w:pPr>
        <w:shd w:val="clear" w:color="auto" w:fill="FFFFFF"/>
        <w:autoSpaceDN w:val="0"/>
        <w:adjustRightInd w:val="0"/>
        <w:spacing w:line="480" w:lineRule="exact"/>
        <w:ind w:firstLine="560" w:firstLineChars="200"/>
        <w:rPr>
          <w:rFonts w:hint="default" w:ascii="Times New Roman" w:hAnsi="Times New Roman" w:eastAsia="仿宋_GB2312" w:cs="Times New Roman"/>
          <w:sz w:val="28"/>
          <w:szCs w:val="28"/>
          <w:shd w:val="clear" w:color="auto" w:fill="FFFFFF"/>
        </w:rPr>
      </w:pPr>
      <w:r>
        <w:rPr>
          <w:rFonts w:hint="default" w:ascii="Times New Roman" w:hAnsi="Times New Roman" w:eastAsia="仿宋_GB2312" w:cs="Times New Roman"/>
          <w:sz w:val="28"/>
          <w:szCs w:val="28"/>
          <w:shd w:val="clear" w:color="auto" w:fill="FFFFFF"/>
        </w:rPr>
        <w:t>C.2 同一个组织的认证范围覆盖多个场所并需要颁发子证书时，子证书编号</w:t>
      </w:r>
      <w:r>
        <w:rPr>
          <w:rFonts w:hint="eastAsia" w:ascii="Times New Roman" w:hAnsi="Times New Roman" w:cs="Times New Roman"/>
          <w:sz w:val="28"/>
          <w:szCs w:val="28"/>
          <w:shd w:val="clear" w:color="auto" w:fill="FFFFFF"/>
          <w:lang w:eastAsia="zh-CN"/>
        </w:rPr>
        <w:t>为在主认证证书编号</w:t>
      </w:r>
      <w:r>
        <w:rPr>
          <w:rFonts w:hint="default" w:ascii="Times New Roman" w:hAnsi="Times New Roman" w:eastAsia="仿宋_GB2312" w:cs="Times New Roman"/>
          <w:sz w:val="28"/>
          <w:szCs w:val="28"/>
          <w:shd w:val="clear" w:color="auto" w:fill="FFFFFF"/>
        </w:rPr>
        <w:t>后加上</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和序号，如-1（-2，-3，</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w:t>
      </w:r>
    </w:p>
    <w:p>
      <w:pPr>
        <w:shd w:val="clear" w:color="auto" w:fill="FFFFFF"/>
        <w:autoSpaceDN w:val="0"/>
        <w:adjustRightInd w:val="0"/>
        <w:spacing w:line="480" w:lineRule="exact"/>
        <w:ind w:firstLine="560" w:firstLineChars="200"/>
        <w:rPr>
          <w:rFonts w:hint="default" w:ascii="Times New Roman" w:hAnsi="Times New Roman" w:eastAsia="仿宋_GB2312" w:cs="Times New Roman"/>
          <w:sz w:val="28"/>
          <w:szCs w:val="28"/>
          <w:shd w:val="clear" w:color="auto" w:fill="FFFFFF"/>
        </w:rPr>
      </w:pPr>
      <w:r>
        <w:rPr>
          <w:rFonts w:hint="default" w:ascii="Times New Roman" w:hAnsi="Times New Roman" w:eastAsia="仿宋_GB2312" w:cs="Times New Roman"/>
          <w:sz w:val="28"/>
          <w:szCs w:val="28"/>
          <w:shd w:val="clear" w:color="auto" w:fill="FFFFFF"/>
        </w:rPr>
        <w:t>C.3 有效期内换发认证证书，认证证书编号中的机构注册号、年份号、顺序号和认证</w:t>
      </w:r>
      <w:r>
        <w:rPr>
          <w:rFonts w:hint="default" w:ascii="Times New Roman" w:hAnsi="Times New Roman" w:eastAsia="仿宋_GB2312" w:cs="Times New Roman"/>
          <w:sz w:val="28"/>
          <w:szCs w:val="28"/>
          <w:shd w:val="clear" w:color="auto" w:fill="FFFFFF"/>
          <w:lang w:val="en-US" w:eastAsia="zh-CN"/>
        </w:rPr>
        <w:t>证书</w:t>
      </w:r>
      <w:r>
        <w:rPr>
          <w:rFonts w:hint="default" w:ascii="Times New Roman" w:hAnsi="Times New Roman" w:eastAsia="仿宋_GB2312" w:cs="Times New Roman"/>
          <w:sz w:val="28"/>
          <w:szCs w:val="28"/>
          <w:shd w:val="clear" w:color="auto" w:fill="FFFFFF"/>
        </w:rPr>
        <w:t>的有效期保持不变，应注明换证日期。</w:t>
      </w:r>
    </w:p>
    <w:p>
      <w:pPr>
        <w:shd w:val="clear" w:color="auto" w:fill="FFFFFF"/>
        <w:autoSpaceDN w:val="0"/>
        <w:adjustRightInd w:val="0"/>
        <w:spacing w:line="480" w:lineRule="exact"/>
        <w:ind w:firstLine="560" w:firstLineChars="200"/>
        <w:rPr>
          <w:rFonts w:hint="default" w:ascii="Times New Roman" w:hAnsi="Times New Roman" w:eastAsia="仿宋_GB2312" w:cs="Times New Roman"/>
          <w:sz w:val="28"/>
          <w:szCs w:val="28"/>
          <w:shd w:val="clear" w:color="auto" w:fill="FFFFFF"/>
        </w:rPr>
      </w:pPr>
      <w:r>
        <w:rPr>
          <w:rFonts w:hint="default" w:ascii="Times New Roman" w:hAnsi="Times New Roman" w:eastAsia="仿宋_GB2312" w:cs="Times New Roman"/>
          <w:sz w:val="28"/>
          <w:szCs w:val="28"/>
          <w:shd w:val="clear" w:color="auto" w:fill="FFFFFF"/>
        </w:rPr>
        <w:t>C.4 再认证完成后换发认证证书，按C.1规定重新赋予认证证书编号，</w:t>
      </w:r>
      <w:r>
        <w:rPr>
          <w:rFonts w:hint="default" w:ascii="Times New Roman" w:hAnsi="Times New Roman" w:cs="Times New Roman"/>
          <w:sz w:val="28"/>
          <w:szCs w:val="28"/>
          <w:shd w:val="clear" w:color="auto" w:fill="FFFFFF"/>
          <w:lang w:val="en-US" w:eastAsia="zh-CN"/>
        </w:rPr>
        <w:t>初次</w:t>
      </w:r>
      <w:r>
        <w:rPr>
          <w:rFonts w:hint="default" w:ascii="Times New Roman" w:hAnsi="Times New Roman" w:eastAsia="仿宋_GB2312" w:cs="Times New Roman"/>
          <w:sz w:val="28"/>
          <w:szCs w:val="28"/>
          <w:shd w:val="clear" w:color="auto" w:fill="FFFFFF"/>
        </w:rPr>
        <w:t>认证为</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R</w:t>
      </w:r>
      <w:r>
        <w:rPr>
          <w:rFonts w:hint="default" w:ascii="Times New Roman" w:hAnsi="Times New Roman" w:cs="Times New Roman"/>
          <w:sz w:val="28"/>
          <w:szCs w:val="28"/>
          <w:shd w:val="clear" w:color="auto" w:fill="FFFFFF"/>
          <w:lang w:val="en-US" w:eastAsia="zh-CN"/>
        </w:rPr>
        <w:t>0</w:t>
      </w:r>
      <w:r>
        <w:rPr>
          <w:rFonts w:hint="eastAsia" w:ascii="Times New Roman" w:hAnsi="Times New Roman" w:cs="Times New Roman"/>
          <w:sz w:val="28"/>
          <w:szCs w:val="28"/>
          <w:shd w:val="clear" w:color="auto" w:fill="FFFFFF"/>
          <w:lang w:eastAsia="zh-CN"/>
        </w:rPr>
        <w:t>”</w:t>
      </w:r>
      <w:r>
        <w:rPr>
          <w:rFonts w:hint="default"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第一次再认证为</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R1</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，第二次再认证为</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R2</w:t>
      </w:r>
      <w:r>
        <w:rPr>
          <w:rFonts w:hint="eastAsia" w:ascii="Times New Roman" w:hAnsi="Times New Roman" w:cs="Times New Roman"/>
          <w:sz w:val="28"/>
          <w:szCs w:val="28"/>
          <w:shd w:val="clear" w:color="auto" w:fill="FFFFFF"/>
          <w:lang w:eastAsia="zh-CN"/>
        </w:rPr>
        <w:t>”</w:t>
      </w:r>
      <w:r>
        <w:rPr>
          <w:rFonts w:hint="default" w:ascii="Times New Roman" w:hAnsi="Times New Roman" w:eastAsia="仿宋_GB2312" w:cs="Times New Roman"/>
          <w:sz w:val="28"/>
          <w:szCs w:val="28"/>
          <w:shd w:val="clear" w:color="auto" w:fill="FFFFFF"/>
        </w:rPr>
        <w:t>，依此类推。</w:t>
      </w:r>
    </w:p>
    <w:p>
      <w:pPr>
        <w:shd w:val="clear" w:color="auto" w:fill="FFFFFF"/>
        <w:autoSpaceDN w:val="0"/>
        <w:adjustRightInd w:val="0"/>
        <w:spacing w:line="480" w:lineRule="exact"/>
        <w:ind w:firstLine="56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28"/>
          <w:szCs w:val="28"/>
          <w:shd w:val="clear" w:color="auto" w:fill="FFFFFF"/>
        </w:rPr>
        <w:t>C.5 撤销认证</w:t>
      </w:r>
      <w:r>
        <w:rPr>
          <w:rFonts w:hint="default" w:ascii="Times New Roman" w:hAnsi="Times New Roman" w:eastAsia="仿宋_GB2312" w:cs="Times New Roman"/>
          <w:sz w:val="28"/>
          <w:szCs w:val="28"/>
          <w:shd w:val="clear" w:color="auto" w:fill="FFFFFF"/>
          <w:lang w:eastAsia="zh-CN"/>
        </w:rPr>
        <w:t>证书</w:t>
      </w:r>
      <w:r>
        <w:rPr>
          <w:rFonts w:hint="default" w:ascii="Times New Roman" w:hAnsi="Times New Roman" w:eastAsia="仿宋_GB2312" w:cs="Times New Roman"/>
          <w:sz w:val="28"/>
          <w:szCs w:val="28"/>
          <w:shd w:val="clear" w:color="auto" w:fill="FFFFFF"/>
        </w:rPr>
        <w:t>后，原认证证书编号废止，不再</w:t>
      </w:r>
      <w:r>
        <w:rPr>
          <w:rFonts w:hint="default" w:ascii="Times New Roman" w:hAnsi="Times New Roman" w:cs="Times New Roman"/>
          <w:sz w:val="28"/>
          <w:szCs w:val="28"/>
          <w:shd w:val="clear" w:color="auto" w:fill="FFFFFF"/>
          <w:lang w:val="en-US" w:eastAsia="zh-CN"/>
        </w:rPr>
        <w:t>使</w:t>
      </w:r>
      <w:r>
        <w:rPr>
          <w:rFonts w:hint="default" w:ascii="Times New Roman" w:hAnsi="Times New Roman" w:eastAsia="仿宋_GB2312" w:cs="Times New Roman"/>
          <w:sz w:val="28"/>
          <w:szCs w:val="28"/>
          <w:shd w:val="clear" w:color="auto" w:fill="FFFFFF"/>
        </w:rPr>
        <w:t>用。</w:t>
      </w:r>
    </w:p>
    <w:p>
      <w:pPr>
        <w:shd w:val="clear" w:color="auto" w:fill="FFFFFF"/>
        <w:autoSpaceDN w:val="0"/>
        <w:adjustRightInd w:val="0"/>
        <w:spacing w:line="480" w:lineRule="exact"/>
        <w:ind w:firstLine="640" w:firstLineChars="200"/>
        <w:jc w:val="left"/>
        <w:rPr>
          <w:rFonts w:hint="eastAsia" w:ascii="仿宋_GB2312" w:hAnsi="仿宋_GB2312" w:eastAsia="仿宋_GB2312"/>
          <w:sz w:val="32"/>
          <w:szCs w:val="32"/>
        </w:rPr>
      </w:pPr>
    </w:p>
    <w:sectPr>
      <w:footerReference r:id="rId6" w:type="default"/>
      <w:pgSz w:w="11906" w:h="16838"/>
      <w:pgMar w:top="1984" w:right="1474" w:bottom="1644" w:left="1474" w:header="851" w:footer="35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80" w:leftChars="150" w:right="480" w:rightChars="150"/>
      <w:jc w:val="center"/>
      <w:rPr>
        <w:rStyle w:val="18"/>
        <w:rFonts w:hint="eastAsia" w:ascii="宋体" w:hAnsi="宋体"/>
        <w:sz w:val="28"/>
        <w:szCs w:val="28"/>
      </w:rPr>
    </w:pPr>
  </w:p>
  <w:p>
    <w:pPr>
      <w:pStyle w:val="8"/>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80" w:leftChars="150" w:right="480" w:rightChars="150"/>
      <w:jc w:val="center"/>
      <w:rPr>
        <w:rStyle w:val="18"/>
        <w:rFonts w:hint="eastAsia" w:ascii="宋体" w:hAnsi="宋体"/>
        <w:sz w:val="28"/>
        <w:szCs w:val="28"/>
      </w:rPr>
    </w:pPr>
    <w:r>
      <w:rPr>
        <w:rStyle w:val="18"/>
        <w:rFonts w:hint="eastAsia" w:ascii="宋体" w:hAnsi="宋体"/>
        <w:sz w:val="28"/>
        <w:szCs w:val="28"/>
      </w:rPr>
      <w:t xml:space="preserve">— </w:t>
    </w:r>
    <w:r>
      <w:rPr>
        <w:rStyle w:val="18"/>
        <w:rFonts w:hint="eastAsia" w:ascii="仿宋_GB2312" w:hAnsi="仿宋_GB2312"/>
        <w:sz w:val="28"/>
        <w:szCs w:val="28"/>
      </w:rPr>
      <w:fldChar w:fldCharType="begin"/>
    </w:r>
    <w:r>
      <w:rPr>
        <w:rStyle w:val="18"/>
        <w:rFonts w:hint="eastAsia" w:ascii="仿宋_GB2312" w:hAnsi="仿宋_GB2312"/>
        <w:sz w:val="28"/>
        <w:szCs w:val="28"/>
      </w:rPr>
      <w:instrText xml:space="preserve"> PAGE  \* Arabic </w:instrText>
    </w:r>
    <w:r>
      <w:rPr>
        <w:rStyle w:val="18"/>
        <w:rFonts w:hint="eastAsia" w:ascii="仿宋_GB2312" w:hAnsi="仿宋_GB2312"/>
        <w:sz w:val="28"/>
        <w:szCs w:val="28"/>
      </w:rPr>
      <w:fldChar w:fldCharType="separate"/>
    </w:r>
    <w:r>
      <w:rPr>
        <w:rStyle w:val="18"/>
        <w:rFonts w:hint="eastAsia" w:ascii="仿宋_GB2312" w:hAnsi="仿宋_GB2312"/>
        <w:sz w:val="28"/>
        <w:szCs w:val="28"/>
      </w:rPr>
      <w:t>1</w:t>
    </w:r>
    <w:r>
      <w:rPr>
        <w:rStyle w:val="18"/>
        <w:rFonts w:hint="eastAsia" w:ascii="仿宋_GB2312" w:hAnsi="仿宋_GB2312"/>
        <w:sz w:val="28"/>
        <w:szCs w:val="28"/>
      </w:rPr>
      <w:fldChar w:fldCharType="end"/>
    </w:r>
    <w:r>
      <w:rPr>
        <w:rStyle w:val="18"/>
        <w:rFonts w:hint="eastAsia" w:ascii="宋体" w:hAnsi="宋体"/>
        <w:sz w:val="28"/>
        <w:szCs w:val="28"/>
      </w:rPr>
      <w:t xml:space="preserve"> —</w:t>
    </w:r>
  </w:p>
  <w:p>
    <w:pPr>
      <w:pStyle w:val="8"/>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FDB50A"/>
    <w:multiLevelType w:val="singleLevel"/>
    <w:tmpl w:val="C2FDB50A"/>
    <w:lvl w:ilvl="0" w:tentative="0">
      <w:start w:val="1"/>
      <w:numFmt w:val="decimal"/>
      <w:suff w:val="space"/>
      <w:lvlText w:val="(%1)"/>
      <w:lvlJc w:val="left"/>
      <w:pPr>
        <w:ind w:left="425" w:hanging="425"/>
      </w:pPr>
      <w:rPr>
        <w:rFonts w:hint="default"/>
      </w:rPr>
    </w:lvl>
  </w:abstractNum>
  <w:abstractNum w:abstractNumId="1">
    <w:nsid w:val="CC3F7C32"/>
    <w:multiLevelType w:val="multilevel"/>
    <w:tmpl w:val="CC3F7C32"/>
    <w:lvl w:ilvl="0" w:tentative="0">
      <w:start w:val="1"/>
      <w:numFmt w:val="decimal"/>
      <w:pStyle w:val="47"/>
      <w:suff w:val="space"/>
      <w:lvlText w:val="%1"/>
      <w:lvlJc w:val="left"/>
      <w:pPr>
        <w:ind w:left="0" w:firstLine="624"/>
      </w:pPr>
      <w:rPr>
        <w:rFonts w:hint="default" w:ascii="Times New Roman" w:hAnsi="Times New Roman" w:eastAsia="宋体" w:cs="宋体"/>
      </w:rPr>
    </w:lvl>
    <w:lvl w:ilvl="1" w:tentative="0">
      <w:start w:val="1"/>
      <w:numFmt w:val="decimal"/>
      <w:lvlText w:val="%1.%2"/>
      <w:lvlJc w:val="left"/>
      <w:pPr>
        <w:ind w:left="0" w:firstLine="454"/>
      </w:pPr>
      <w:rPr>
        <w:rFonts w:hint="default" w:ascii="Times New Roman" w:hAnsi="Times New Roman" w:eastAsia="宋体" w:cs="宋体"/>
      </w:rPr>
    </w:lvl>
    <w:lvl w:ilvl="2" w:tentative="0">
      <w:start w:val="1"/>
      <w:numFmt w:val="decimal"/>
      <w:lvlText w:val="%1.%2.%3"/>
      <w:lvlJc w:val="left"/>
      <w:pPr>
        <w:ind w:left="-28" w:firstLine="454"/>
      </w:pPr>
      <w:rPr>
        <w:rFonts w:hint="default" w:ascii="宋体" w:hAnsi="宋体" w:eastAsia="宋体" w:cs="宋体"/>
      </w:rPr>
    </w:lvl>
    <w:lvl w:ilvl="3" w:tentative="0">
      <w:start w:val="1"/>
      <w:numFmt w:val="decimal"/>
      <w:lvlText w:val="%1.%2.%3.%4"/>
      <w:lvlJc w:val="left"/>
      <w:pPr>
        <w:ind w:left="0" w:firstLine="454"/>
      </w:pPr>
      <w:rPr>
        <w:rFonts w:hint="default" w:ascii="宋体" w:hAnsi="宋体" w:eastAsia="宋体" w:cs="宋体"/>
      </w:rPr>
    </w:lvl>
    <w:lvl w:ilvl="4" w:tentative="0">
      <w:start w:val="1"/>
      <w:numFmt w:val="decimal"/>
      <w:lvlText w:val="%1.%2.%3.%4.%5."/>
      <w:lvlJc w:val="left"/>
      <w:pPr>
        <w:ind w:left="0" w:firstLine="454"/>
      </w:pPr>
      <w:rPr>
        <w:rFonts w:hint="default"/>
      </w:rPr>
    </w:lvl>
    <w:lvl w:ilvl="5" w:tentative="0">
      <w:start w:val="1"/>
      <w:numFmt w:val="decimal"/>
      <w:lvlText w:val="%1.%2.%3.%4.%5.%6."/>
      <w:lvlJc w:val="left"/>
      <w:pPr>
        <w:ind w:left="0" w:firstLine="454"/>
      </w:pPr>
      <w:rPr>
        <w:rFonts w:hint="default"/>
      </w:rPr>
    </w:lvl>
    <w:lvl w:ilvl="6" w:tentative="0">
      <w:start w:val="1"/>
      <w:numFmt w:val="decimal"/>
      <w:lvlText w:val="%1.%2.%3.%4.%5.%6.%7."/>
      <w:lvlJc w:val="left"/>
      <w:pPr>
        <w:ind w:left="0" w:firstLine="454"/>
      </w:pPr>
      <w:rPr>
        <w:rFonts w:hint="default"/>
      </w:rPr>
    </w:lvl>
    <w:lvl w:ilvl="7" w:tentative="0">
      <w:start w:val="1"/>
      <w:numFmt w:val="decimal"/>
      <w:lvlText w:val="%1.%2.%3.%4.%5.%6.%7.%8."/>
      <w:lvlJc w:val="left"/>
      <w:pPr>
        <w:ind w:left="0" w:firstLine="454"/>
      </w:pPr>
      <w:rPr>
        <w:rFonts w:hint="default"/>
      </w:rPr>
    </w:lvl>
    <w:lvl w:ilvl="8" w:tentative="0">
      <w:start w:val="1"/>
      <w:numFmt w:val="decimal"/>
      <w:lvlText w:val="%1.%2.%3.%4.%5.%6.%7.%8.%9."/>
      <w:lvlJc w:val="left"/>
      <w:pPr>
        <w:ind w:left="0" w:firstLine="454"/>
      </w:pPr>
      <w:rPr>
        <w:rFonts w:hint="default"/>
      </w:rPr>
    </w:lvl>
  </w:abstractNum>
  <w:abstractNum w:abstractNumId="2">
    <w:nsid w:val="5A1D243C"/>
    <w:multiLevelType w:val="multilevel"/>
    <w:tmpl w:val="5A1D243C"/>
    <w:lvl w:ilvl="0" w:tentative="0">
      <w:start w:val="1"/>
      <w:numFmt w:val="decimal"/>
      <w:pStyle w:val="2"/>
      <w:lvlText w:val="%1"/>
      <w:lvlJc w:val="left"/>
      <w:pPr>
        <w:ind w:left="0" w:firstLine="454"/>
      </w:pPr>
      <w:rPr>
        <w:rFonts w:hint="default" w:ascii="Times New Roman" w:hAnsi="Times New Roman" w:eastAsia="宋体" w:cs="宋体"/>
      </w:rPr>
    </w:lvl>
    <w:lvl w:ilvl="1" w:tentative="0">
      <w:start w:val="1"/>
      <w:numFmt w:val="decimal"/>
      <w:lvlText w:val="%1.%2"/>
      <w:lvlJc w:val="left"/>
      <w:pPr>
        <w:ind w:left="0" w:firstLine="454"/>
      </w:pPr>
      <w:rPr>
        <w:rFonts w:hint="default" w:ascii="Times New Roman" w:hAnsi="Times New Roman" w:eastAsia="宋体" w:cs="宋体"/>
      </w:rPr>
    </w:lvl>
    <w:lvl w:ilvl="2" w:tentative="0">
      <w:start w:val="1"/>
      <w:numFmt w:val="decimal"/>
      <w:lvlText w:val="%1.%2.%3"/>
      <w:lvlJc w:val="left"/>
      <w:pPr>
        <w:ind w:left="-28" w:firstLine="454"/>
      </w:pPr>
      <w:rPr>
        <w:rFonts w:hint="default" w:ascii="宋体" w:hAnsi="宋体" w:eastAsia="宋体" w:cs="宋体"/>
      </w:rPr>
    </w:lvl>
    <w:lvl w:ilvl="3" w:tentative="0">
      <w:start w:val="1"/>
      <w:numFmt w:val="decimal"/>
      <w:lvlText w:val="%1.%2.%3.%4"/>
      <w:lvlJc w:val="left"/>
      <w:pPr>
        <w:ind w:left="0" w:firstLine="454"/>
      </w:pPr>
      <w:rPr>
        <w:rFonts w:hint="default" w:ascii="宋体" w:hAnsi="宋体" w:eastAsia="宋体" w:cs="宋体"/>
      </w:rPr>
    </w:lvl>
    <w:lvl w:ilvl="4" w:tentative="0">
      <w:start w:val="1"/>
      <w:numFmt w:val="decimal"/>
      <w:lvlText w:val="%1.%2.%3.%4.%5."/>
      <w:lvlJc w:val="left"/>
      <w:pPr>
        <w:ind w:left="0" w:firstLine="454"/>
      </w:pPr>
      <w:rPr>
        <w:rFonts w:hint="default"/>
      </w:rPr>
    </w:lvl>
    <w:lvl w:ilvl="5" w:tentative="0">
      <w:start w:val="1"/>
      <w:numFmt w:val="decimal"/>
      <w:lvlText w:val="%1.%2.%3.%4.%5.%6."/>
      <w:lvlJc w:val="left"/>
      <w:pPr>
        <w:ind w:left="0" w:firstLine="454"/>
      </w:pPr>
      <w:rPr>
        <w:rFonts w:hint="default"/>
      </w:rPr>
    </w:lvl>
    <w:lvl w:ilvl="6" w:tentative="0">
      <w:start w:val="1"/>
      <w:numFmt w:val="decimal"/>
      <w:lvlText w:val="%1.%2.%3.%4.%5.%6.%7."/>
      <w:lvlJc w:val="left"/>
      <w:pPr>
        <w:ind w:left="0" w:firstLine="454"/>
      </w:pPr>
      <w:rPr>
        <w:rFonts w:hint="default"/>
      </w:rPr>
    </w:lvl>
    <w:lvl w:ilvl="7" w:tentative="0">
      <w:start w:val="1"/>
      <w:numFmt w:val="decimal"/>
      <w:lvlText w:val="%1.%2.%3.%4.%5.%6.%7.%8."/>
      <w:lvlJc w:val="left"/>
      <w:pPr>
        <w:ind w:left="0" w:firstLine="454"/>
      </w:pPr>
      <w:rPr>
        <w:rFonts w:hint="default"/>
      </w:rPr>
    </w:lvl>
    <w:lvl w:ilvl="8" w:tentative="0">
      <w:start w:val="1"/>
      <w:numFmt w:val="decimal"/>
      <w:lvlText w:val="%1.%2.%3.%4.%5.%6.%7.%8.%9."/>
      <w:lvlJc w:val="left"/>
      <w:pPr>
        <w:ind w:left="0" w:firstLine="454"/>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kYWQ1MTlkYjczNjEyODIzMjE2OTBkMTYxNDA4MTUifQ=="/>
  </w:docVars>
  <w:rsids>
    <w:rsidRoot w:val="00172A27"/>
    <w:rsid w:val="0000132F"/>
    <w:rsid w:val="000024B2"/>
    <w:rsid w:val="000052EA"/>
    <w:rsid w:val="00006343"/>
    <w:rsid w:val="000072BB"/>
    <w:rsid w:val="000119C7"/>
    <w:rsid w:val="00016958"/>
    <w:rsid w:val="00017208"/>
    <w:rsid w:val="00020DB6"/>
    <w:rsid w:val="00024D9F"/>
    <w:rsid w:val="00025CB8"/>
    <w:rsid w:val="00026B7B"/>
    <w:rsid w:val="00026BC7"/>
    <w:rsid w:val="000303EF"/>
    <w:rsid w:val="000339A3"/>
    <w:rsid w:val="00033ABE"/>
    <w:rsid w:val="00034604"/>
    <w:rsid w:val="000420FD"/>
    <w:rsid w:val="00044650"/>
    <w:rsid w:val="00044FD5"/>
    <w:rsid w:val="00045977"/>
    <w:rsid w:val="00052C32"/>
    <w:rsid w:val="000578F8"/>
    <w:rsid w:val="00061C0A"/>
    <w:rsid w:val="000624A1"/>
    <w:rsid w:val="000631C2"/>
    <w:rsid w:val="00063CE3"/>
    <w:rsid w:val="00065E91"/>
    <w:rsid w:val="000667F8"/>
    <w:rsid w:val="00067B54"/>
    <w:rsid w:val="00070312"/>
    <w:rsid w:val="00071FB8"/>
    <w:rsid w:val="00072F84"/>
    <w:rsid w:val="000745B1"/>
    <w:rsid w:val="000747CC"/>
    <w:rsid w:val="00074AAA"/>
    <w:rsid w:val="0007638A"/>
    <w:rsid w:val="00076A3A"/>
    <w:rsid w:val="00080BFC"/>
    <w:rsid w:val="00084D74"/>
    <w:rsid w:val="000859F2"/>
    <w:rsid w:val="00090073"/>
    <w:rsid w:val="000903F2"/>
    <w:rsid w:val="00090B73"/>
    <w:rsid w:val="00091985"/>
    <w:rsid w:val="00091BAE"/>
    <w:rsid w:val="00091EFE"/>
    <w:rsid w:val="0009233E"/>
    <w:rsid w:val="00096A2B"/>
    <w:rsid w:val="00096E99"/>
    <w:rsid w:val="000A07D1"/>
    <w:rsid w:val="000A0C17"/>
    <w:rsid w:val="000A0C92"/>
    <w:rsid w:val="000A1F34"/>
    <w:rsid w:val="000A22AD"/>
    <w:rsid w:val="000A510C"/>
    <w:rsid w:val="000A5D8D"/>
    <w:rsid w:val="000B14E9"/>
    <w:rsid w:val="000B29B0"/>
    <w:rsid w:val="000B6B6D"/>
    <w:rsid w:val="000B6E2A"/>
    <w:rsid w:val="000C0245"/>
    <w:rsid w:val="000C118D"/>
    <w:rsid w:val="000C3AB2"/>
    <w:rsid w:val="000C47FC"/>
    <w:rsid w:val="000C562A"/>
    <w:rsid w:val="000C62D6"/>
    <w:rsid w:val="000C7055"/>
    <w:rsid w:val="000D136D"/>
    <w:rsid w:val="000D2FD7"/>
    <w:rsid w:val="000D54A6"/>
    <w:rsid w:val="000D5A0E"/>
    <w:rsid w:val="000D61A8"/>
    <w:rsid w:val="000E0029"/>
    <w:rsid w:val="000E4D05"/>
    <w:rsid w:val="000E6FDE"/>
    <w:rsid w:val="000E79AD"/>
    <w:rsid w:val="000F0191"/>
    <w:rsid w:val="000F1388"/>
    <w:rsid w:val="000F32DA"/>
    <w:rsid w:val="000F34F0"/>
    <w:rsid w:val="000F561A"/>
    <w:rsid w:val="000F7936"/>
    <w:rsid w:val="00101676"/>
    <w:rsid w:val="00104990"/>
    <w:rsid w:val="00107CBC"/>
    <w:rsid w:val="0011030F"/>
    <w:rsid w:val="00112120"/>
    <w:rsid w:val="0011296A"/>
    <w:rsid w:val="001155B4"/>
    <w:rsid w:val="00123115"/>
    <w:rsid w:val="00124053"/>
    <w:rsid w:val="001279A3"/>
    <w:rsid w:val="00132721"/>
    <w:rsid w:val="00132AFA"/>
    <w:rsid w:val="00132B49"/>
    <w:rsid w:val="00134A2E"/>
    <w:rsid w:val="00136C91"/>
    <w:rsid w:val="00137130"/>
    <w:rsid w:val="00142E39"/>
    <w:rsid w:val="001431C4"/>
    <w:rsid w:val="00146A02"/>
    <w:rsid w:val="0014706A"/>
    <w:rsid w:val="00147596"/>
    <w:rsid w:val="00147857"/>
    <w:rsid w:val="001505F9"/>
    <w:rsid w:val="001510F5"/>
    <w:rsid w:val="0015164F"/>
    <w:rsid w:val="00154F8F"/>
    <w:rsid w:val="00155486"/>
    <w:rsid w:val="0015610D"/>
    <w:rsid w:val="00157586"/>
    <w:rsid w:val="00157593"/>
    <w:rsid w:val="00161F9D"/>
    <w:rsid w:val="001646FE"/>
    <w:rsid w:val="001650E2"/>
    <w:rsid w:val="0016554B"/>
    <w:rsid w:val="00165D43"/>
    <w:rsid w:val="00165D56"/>
    <w:rsid w:val="00166F44"/>
    <w:rsid w:val="00171DB7"/>
    <w:rsid w:val="00172A27"/>
    <w:rsid w:val="00172A55"/>
    <w:rsid w:val="001743E6"/>
    <w:rsid w:val="0018040B"/>
    <w:rsid w:val="001843EC"/>
    <w:rsid w:val="001869FD"/>
    <w:rsid w:val="00190E0D"/>
    <w:rsid w:val="00192790"/>
    <w:rsid w:val="00193D91"/>
    <w:rsid w:val="0019464D"/>
    <w:rsid w:val="00196A2C"/>
    <w:rsid w:val="00196EB1"/>
    <w:rsid w:val="001977CE"/>
    <w:rsid w:val="001A210A"/>
    <w:rsid w:val="001A5CBC"/>
    <w:rsid w:val="001B16EA"/>
    <w:rsid w:val="001B2D67"/>
    <w:rsid w:val="001B32C0"/>
    <w:rsid w:val="001B3880"/>
    <w:rsid w:val="001B3F1D"/>
    <w:rsid w:val="001B5515"/>
    <w:rsid w:val="001B5A02"/>
    <w:rsid w:val="001B5CEF"/>
    <w:rsid w:val="001B619D"/>
    <w:rsid w:val="001C5E53"/>
    <w:rsid w:val="001C6749"/>
    <w:rsid w:val="001D0A90"/>
    <w:rsid w:val="001E0BB5"/>
    <w:rsid w:val="001E10E4"/>
    <w:rsid w:val="001E1651"/>
    <w:rsid w:val="001E16C2"/>
    <w:rsid w:val="001E38E4"/>
    <w:rsid w:val="001E3A4D"/>
    <w:rsid w:val="001E4CC8"/>
    <w:rsid w:val="001E4E48"/>
    <w:rsid w:val="001E528D"/>
    <w:rsid w:val="001E531D"/>
    <w:rsid w:val="001E5D8D"/>
    <w:rsid w:val="001E6229"/>
    <w:rsid w:val="001E77BE"/>
    <w:rsid w:val="001F12F6"/>
    <w:rsid w:val="001F156B"/>
    <w:rsid w:val="001F4D54"/>
    <w:rsid w:val="001F592F"/>
    <w:rsid w:val="001F6A5F"/>
    <w:rsid w:val="001F7B10"/>
    <w:rsid w:val="00200C3E"/>
    <w:rsid w:val="00202028"/>
    <w:rsid w:val="00203707"/>
    <w:rsid w:val="00204827"/>
    <w:rsid w:val="00205F25"/>
    <w:rsid w:val="00207BAD"/>
    <w:rsid w:val="00214833"/>
    <w:rsid w:val="00215045"/>
    <w:rsid w:val="002176D6"/>
    <w:rsid w:val="0021792D"/>
    <w:rsid w:val="00221C21"/>
    <w:rsid w:val="002230E0"/>
    <w:rsid w:val="002237B5"/>
    <w:rsid w:val="00223C42"/>
    <w:rsid w:val="00224EC5"/>
    <w:rsid w:val="00227573"/>
    <w:rsid w:val="00230A00"/>
    <w:rsid w:val="002328C0"/>
    <w:rsid w:val="0023402E"/>
    <w:rsid w:val="00234211"/>
    <w:rsid w:val="0023737E"/>
    <w:rsid w:val="00242790"/>
    <w:rsid w:val="00242DC3"/>
    <w:rsid w:val="002445DB"/>
    <w:rsid w:val="00246FFC"/>
    <w:rsid w:val="0025111D"/>
    <w:rsid w:val="00251EB9"/>
    <w:rsid w:val="00256961"/>
    <w:rsid w:val="002612D4"/>
    <w:rsid w:val="0026415D"/>
    <w:rsid w:val="00264885"/>
    <w:rsid w:val="00264F93"/>
    <w:rsid w:val="0026513E"/>
    <w:rsid w:val="00265ADE"/>
    <w:rsid w:val="00267706"/>
    <w:rsid w:val="00271C0A"/>
    <w:rsid w:val="002745B0"/>
    <w:rsid w:val="002747A6"/>
    <w:rsid w:val="00275549"/>
    <w:rsid w:val="00277148"/>
    <w:rsid w:val="00281917"/>
    <w:rsid w:val="00281C6D"/>
    <w:rsid w:val="002821D1"/>
    <w:rsid w:val="002822DD"/>
    <w:rsid w:val="00282AC2"/>
    <w:rsid w:val="00284FE0"/>
    <w:rsid w:val="002862B7"/>
    <w:rsid w:val="00287334"/>
    <w:rsid w:val="00287F5B"/>
    <w:rsid w:val="002905A9"/>
    <w:rsid w:val="00291080"/>
    <w:rsid w:val="00291FAD"/>
    <w:rsid w:val="0029267E"/>
    <w:rsid w:val="0029610D"/>
    <w:rsid w:val="002961F6"/>
    <w:rsid w:val="00297730"/>
    <w:rsid w:val="002978CA"/>
    <w:rsid w:val="002A00E1"/>
    <w:rsid w:val="002A2421"/>
    <w:rsid w:val="002A2888"/>
    <w:rsid w:val="002A290A"/>
    <w:rsid w:val="002A2E53"/>
    <w:rsid w:val="002A4B14"/>
    <w:rsid w:val="002A54DC"/>
    <w:rsid w:val="002A6F3A"/>
    <w:rsid w:val="002A7373"/>
    <w:rsid w:val="002B2261"/>
    <w:rsid w:val="002B3342"/>
    <w:rsid w:val="002B39FF"/>
    <w:rsid w:val="002B504F"/>
    <w:rsid w:val="002B72FD"/>
    <w:rsid w:val="002C4242"/>
    <w:rsid w:val="002C6396"/>
    <w:rsid w:val="002C6562"/>
    <w:rsid w:val="002C6ABD"/>
    <w:rsid w:val="002C720C"/>
    <w:rsid w:val="002D0452"/>
    <w:rsid w:val="002D08A3"/>
    <w:rsid w:val="002D0B5E"/>
    <w:rsid w:val="002D66C6"/>
    <w:rsid w:val="002D6A4C"/>
    <w:rsid w:val="002D7527"/>
    <w:rsid w:val="002D779C"/>
    <w:rsid w:val="002E1A87"/>
    <w:rsid w:val="002F00B2"/>
    <w:rsid w:val="002F3CFA"/>
    <w:rsid w:val="002F4D40"/>
    <w:rsid w:val="002F4E06"/>
    <w:rsid w:val="003006AB"/>
    <w:rsid w:val="00302523"/>
    <w:rsid w:val="00302B54"/>
    <w:rsid w:val="003030C3"/>
    <w:rsid w:val="00303342"/>
    <w:rsid w:val="00303721"/>
    <w:rsid w:val="00303C76"/>
    <w:rsid w:val="00306D92"/>
    <w:rsid w:val="00310001"/>
    <w:rsid w:val="00311DFC"/>
    <w:rsid w:val="0031249C"/>
    <w:rsid w:val="00313B54"/>
    <w:rsid w:val="003143C7"/>
    <w:rsid w:val="00314576"/>
    <w:rsid w:val="00315254"/>
    <w:rsid w:val="00315318"/>
    <w:rsid w:val="0031550A"/>
    <w:rsid w:val="0031799E"/>
    <w:rsid w:val="003202F5"/>
    <w:rsid w:val="00320EAB"/>
    <w:rsid w:val="00321EE4"/>
    <w:rsid w:val="0033078F"/>
    <w:rsid w:val="003317D4"/>
    <w:rsid w:val="00332BBF"/>
    <w:rsid w:val="00336B83"/>
    <w:rsid w:val="00345537"/>
    <w:rsid w:val="00347ECF"/>
    <w:rsid w:val="00351E8B"/>
    <w:rsid w:val="00351EB4"/>
    <w:rsid w:val="00354FEC"/>
    <w:rsid w:val="0036097A"/>
    <w:rsid w:val="00367927"/>
    <w:rsid w:val="00372A72"/>
    <w:rsid w:val="003742E4"/>
    <w:rsid w:val="00374AC4"/>
    <w:rsid w:val="003762CB"/>
    <w:rsid w:val="00376814"/>
    <w:rsid w:val="00376BFE"/>
    <w:rsid w:val="003904AB"/>
    <w:rsid w:val="00391F84"/>
    <w:rsid w:val="00393376"/>
    <w:rsid w:val="0039601A"/>
    <w:rsid w:val="00397A18"/>
    <w:rsid w:val="003A17C6"/>
    <w:rsid w:val="003A38D3"/>
    <w:rsid w:val="003A72D0"/>
    <w:rsid w:val="003A749D"/>
    <w:rsid w:val="003A7CF7"/>
    <w:rsid w:val="003B4E1F"/>
    <w:rsid w:val="003B7E26"/>
    <w:rsid w:val="003C5890"/>
    <w:rsid w:val="003D5454"/>
    <w:rsid w:val="003D617F"/>
    <w:rsid w:val="003E2CBF"/>
    <w:rsid w:val="003E3475"/>
    <w:rsid w:val="003F1653"/>
    <w:rsid w:val="003F18D8"/>
    <w:rsid w:val="003F3B7B"/>
    <w:rsid w:val="003F4952"/>
    <w:rsid w:val="003F4EF4"/>
    <w:rsid w:val="003F53D6"/>
    <w:rsid w:val="003F6852"/>
    <w:rsid w:val="00410506"/>
    <w:rsid w:val="00412B11"/>
    <w:rsid w:val="004132A6"/>
    <w:rsid w:val="00413997"/>
    <w:rsid w:val="0041399C"/>
    <w:rsid w:val="00413F06"/>
    <w:rsid w:val="0041468B"/>
    <w:rsid w:val="0041483E"/>
    <w:rsid w:val="0041499E"/>
    <w:rsid w:val="004177F9"/>
    <w:rsid w:val="0042655A"/>
    <w:rsid w:val="00427DA0"/>
    <w:rsid w:val="00430BF6"/>
    <w:rsid w:val="0043445E"/>
    <w:rsid w:val="00434BA4"/>
    <w:rsid w:val="00440E1A"/>
    <w:rsid w:val="00442766"/>
    <w:rsid w:val="00444DB8"/>
    <w:rsid w:val="0045056E"/>
    <w:rsid w:val="00450C24"/>
    <w:rsid w:val="00451629"/>
    <w:rsid w:val="004568F6"/>
    <w:rsid w:val="00457E13"/>
    <w:rsid w:val="00457F61"/>
    <w:rsid w:val="00460029"/>
    <w:rsid w:val="00461624"/>
    <w:rsid w:val="004628F6"/>
    <w:rsid w:val="00466F77"/>
    <w:rsid w:val="00470AFE"/>
    <w:rsid w:val="00471D8F"/>
    <w:rsid w:val="004721D0"/>
    <w:rsid w:val="0047368F"/>
    <w:rsid w:val="0048170F"/>
    <w:rsid w:val="004826A4"/>
    <w:rsid w:val="00483E57"/>
    <w:rsid w:val="00484973"/>
    <w:rsid w:val="00486918"/>
    <w:rsid w:val="004910D1"/>
    <w:rsid w:val="004917E3"/>
    <w:rsid w:val="0049288D"/>
    <w:rsid w:val="00492947"/>
    <w:rsid w:val="00494F53"/>
    <w:rsid w:val="004A1403"/>
    <w:rsid w:val="004A326F"/>
    <w:rsid w:val="004A6046"/>
    <w:rsid w:val="004A7472"/>
    <w:rsid w:val="004B1CAB"/>
    <w:rsid w:val="004B5441"/>
    <w:rsid w:val="004B58F9"/>
    <w:rsid w:val="004C047C"/>
    <w:rsid w:val="004C363B"/>
    <w:rsid w:val="004C7BEA"/>
    <w:rsid w:val="004D03AA"/>
    <w:rsid w:val="004D230F"/>
    <w:rsid w:val="004D3D03"/>
    <w:rsid w:val="004D59D1"/>
    <w:rsid w:val="004D6D62"/>
    <w:rsid w:val="004E2DC3"/>
    <w:rsid w:val="004F05FA"/>
    <w:rsid w:val="004F1022"/>
    <w:rsid w:val="004F2806"/>
    <w:rsid w:val="005033CA"/>
    <w:rsid w:val="00503E8C"/>
    <w:rsid w:val="00504823"/>
    <w:rsid w:val="00507113"/>
    <w:rsid w:val="00510590"/>
    <w:rsid w:val="00510599"/>
    <w:rsid w:val="005141A4"/>
    <w:rsid w:val="00515604"/>
    <w:rsid w:val="005158FB"/>
    <w:rsid w:val="005159F9"/>
    <w:rsid w:val="00516EFB"/>
    <w:rsid w:val="00520B00"/>
    <w:rsid w:val="00520B69"/>
    <w:rsid w:val="00525497"/>
    <w:rsid w:val="0052585E"/>
    <w:rsid w:val="00526369"/>
    <w:rsid w:val="00534787"/>
    <w:rsid w:val="00534C86"/>
    <w:rsid w:val="00535AC5"/>
    <w:rsid w:val="00535E4B"/>
    <w:rsid w:val="00536A46"/>
    <w:rsid w:val="00536F1D"/>
    <w:rsid w:val="005403E2"/>
    <w:rsid w:val="00540C11"/>
    <w:rsid w:val="00542545"/>
    <w:rsid w:val="00544085"/>
    <w:rsid w:val="00544A7E"/>
    <w:rsid w:val="00552220"/>
    <w:rsid w:val="00552446"/>
    <w:rsid w:val="0055297B"/>
    <w:rsid w:val="00553744"/>
    <w:rsid w:val="00554A74"/>
    <w:rsid w:val="0056033F"/>
    <w:rsid w:val="0056112D"/>
    <w:rsid w:val="00561A59"/>
    <w:rsid w:val="0056410F"/>
    <w:rsid w:val="0056439A"/>
    <w:rsid w:val="0056683A"/>
    <w:rsid w:val="00566F7F"/>
    <w:rsid w:val="00570266"/>
    <w:rsid w:val="00570EDD"/>
    <w:rsid w:val="005718B0"/>
    <w:rsid w:val="00576265"/>
    <w:rsid w:val="00576A70"/>
    <w:rsid w:val="00582B49"/>
    <w:rsid w:val="0058451B"/>
    <w:rsid w:val="005863CE"/>
    <w:rsid w:val="005903AF"/>
    <w:rsid w:val="00590473"/>
    <w:rsid w:val="00590908"/>
    <w:rsid w:val="00592382"/>
    <w:rsid w:val="00592720"/>
    <w:rsid w:val="00593428"/>
    <w:rsid w:val="005950CE"/>
    <w:rsid w:val="00596383"/>
    <w:rsid w:val="00597DCC"/>
    <w:rsid w:val="005A0D12"/>
    <w:rsid w:val="005A1210"/>
    <w:rsid w:val="005A463A"/>
    <w:rsid w:val="005B1248"/>
    <w:rsid w:val="005B2833"/>
    <w:rsid w:val="005B3B43"/>
    <w:rsid w:val="005B3F1E"/>
    <w:rsid w:val="005C03CC"/>
    <w:rsid w:val="005C1C4F"/>
    <w:rsid w:val="005C21E5"/>
    <w:rsid w:val="005C37DC"/>
    <w:rsid w:val="005C531E"/>
    <w:rsid w:val="005C5615"/>
    <w:rsid w:val="005C7688"/>
    <w:rsid w:val="005D1D53"/>
    <w:rsid w:val="005D3ACB"/>
    <w:rsid w:val="005D4D28"/>
    <w:rsid w:val="005D6A96"/>
    <w:rsid w:val="005D76C6"/>
    <w:rsid w:val="005D7D04"/>
    <w:rsid w:val="005E4A7E"/>
    <w:rsid w:val="00604059"/>
    <w:rsid w:val="0060507B"/>
    <w:rsid w:val="00613B18"/>
    <w:rsid w:val="006149EF"/>
    <w:rsid w:val="00617BD0"/>
    <w:rsid w:val="00621833"/>
    <w:rsid w:val="0062194B"/>
    <w:rsid w:val="00624A6D"/>
    <w:rsid w:val="006253F8"/>
    <w:rsid w:val="0063024B"/>
    <w:rsid w:val="00631BF6"/>
    <w:rsid w:val="00634E3D"/>
    <w:rsid w:val="006352DD"/>
    <w:rsid w:val="006368E7"/>
    <w:rsid w:val="00642614"/>
    <w:rsid w:val="006446C7"/>
    <w:rsid w:val="00646908"/>
    <w:rsid w:val="0064777D"/>
    <w:rsid w:val="00647A7B"/>
    <w:rsid w:val="00653FB4"/>
    <w:rsid w:val="00660815"/>
    <w:rsid w:val="00661841"/>
    <w:rsid w:val="00663275"/>
    <w:rsid w:val="006632BD"/>
    <w:rsid w:val="00664091"/>
    <w:rsid w:val="006646A1"/>
    <w:rsid w:val="00665775"/>
    <w:rsid w:val="00665AD3"/>
    <w:rsid w:val="00666A43"/>
    <w:rsid w:val="006672F5"/>
    <w:rsid w:val="00667DC4"/>
    <w:rsid w:val="00670703"/>
    <w:rsid w:val="00670E25"/>
    <w:rsid w:val="00672D8F"/>
    <w:rsid w:val="0067434C"/>
    <w:rsid w:val="006777C7"/>
    <w:rsid w:val="00680B17"/>
    <w:rsid w:val="00686AC5"/>
    <w:rsid w:val="00690789"/>
    <w:rsid w:val="006911D4"/>
    <w:rsid w:val="00691BC6"/>
    <w:rsid w:val="00693296"/>
    <w:rsid w:val="006A0AF6"/>
    <w:rsid w:val="006A1140"/>
    <w:rsid w:val="006A3A06"/>
    <w:rsid w:val="006A7498"/>
    <w:rsid w:val="006B1DD6"/>
    <w:rsid w:val="006B612C"/>
    <w:rsid w:val="006B6361"/>
    <w:rsid w:val="006C1C60"/>
    <w:rsid w:val="006C36C6"/>
    <w:rsid w:val="006C4FC3"/>
    <w:rsid w:val="006C6413"/>
    <w:rsid w:val="006D08E5"/>
    <w:rsid w:val="006D0993"/>
    <w:rsid w:val="006D2EBD"/>
    <w:rsid w:val="006D43F5"/>
    <w:rsid w:val="006D675F"/>
    <w:rsid w:val="006D6890"/>
    <w:rsid w:val="006D7AA1"/>
    <w:rsid w:val="006E7900"/>
    <w:rsid w:val="006E7F6F"/>
    <w:rsid w:val="006F064E"/>
    <w:rsid w:val="006F103B"/>
    <w:rsid w:val="006F3910"/>
    <w:rsid w:val="006F3E54"/>
    <w:rsid w:val="006F403C"/>
    <w:rsid w:val="006F4484"/>
    <w:rsid w:val="006F5C59"/>
    <w:rsid w:val="00700157"/>
    <w:rsid w:val="0070104D"/>
    <w:rsid w:val="00705672"/>
    <w:rsid w:val="007056E4"/>
    <w:rsid w:val="00706F57"/>
    <w:rsid w:val="007132DF"/>
    <w:rsid w:val="007143EF"/>
    <w:rsid w:val="00714ADC"/>
    <w:rsid w:val="0071745F"/>
    <w:rsid w:val="00717E9D"/>
    <w:rsid w:val="00720E1B"/>
    <w:rsid w:val="00726693"/>
    <w:rsid w:val="007276F7"/>
    <w:rsid w:val="007325BD"/>
    <w:rsid w:val="00732ACB"/>
    <w:rsid w:val="007362CF"/>
    <w:rsid w:val="0073649E"/>
    <w:rsid w:val="0073779B"/>
    <w:rsid w:val="00737805"/>
    <w:rsid w:val="007405AF"/>
    <w:rsid w:val="007410E0"/>
    <w:rsid w:val="007430B1"/>
    <w:rsid w:val="0074486B"/>
    <w:rsid w:val="007479A5"/>
    <w:rsid w:val="0075317B"/>
    <w:rsid w:val="00753DC6"/>
    <w:rsid w:val="00755151"/>
    <w:rsid w:val="0075568F"/>
    <w:rsid w:val="00756504"/>
    <w:rsid w:val="0075703F"/>
    <w:rsid w:val="00760049"/>
    <w:rsid w:val="00760B94"/>
    <w:rsid w:val="00762855"/>
    <w:rsid w:val="00762F3D"/>
    <w:rsid w:val="00763DAD"/>
    <w:rsid w:val="00763E1E"/>
    <w:rsid w:val="007652DE"/>
    <w:rsid w:val="007660D4"/>
    <w:rsid w:val="0077243E"/>
    <w:rsid w:val="00773D52"/>
    <w:rsid w:val="007744D9"/>
    <w:rsid w:val="0077460E"/>
    <w:rsid w:val="00775AC1"/>
    <w:rsid w:val="00775FE0"/>
    <w:rsid w:val="00781FD2"/>
    <w:rsid w:val="00783F38"/>
    <w:rsid w:val="00784B78"/>
    <w:rsid w:val="00785CF7"/>
    <w:rsid w:val="00786C01"/>
    <w:rsid w:val="00787D8A"/>
    <w:rsid w:val="007914E4"/>
    <w:rsid w:val="00793FBD"/>
    <w:rsid w:val="0079436E"/>
    <w:rsid w:val="007964C2"/>
    <w:rsid w:val="00796AD6"/>
    <w:rsid w:val="00797024"/>
    <w:rsid w:val="0079759C"/>
    <w:rsid w:val="007A0E02"/>
    <w:rsid w:val="007A4B91"/>
    <w:rsid w:val="007A5DEC"/>
    <w:rsid w:val="007A68BB"/>
    <w:rsid w:val="007A6AB6"/>
    <w:rsid w:val="007A6C1C"/>
    <w:rsid w:val="007B1F9C"/>
    <w:rsid w:val="007B2276"/>
    <w:rsid w:val="007B4CA6"/>
    <w:rsid w:val="007B5100"/>
    <w:rsid w:val="007B61C1"/>
    <w:rsid w:val="007B6F48"/>
    <w:rsid w:val="007C2A58"/>
    <w:rsid w:val="007C4E70"/>
    <w:rsid w:val="007C52EC"/>
    <w:rsid w:val="007C5C39"/>
    <w:rsid w:val="007C7D5B"/>
    <w:rsid w:val="007D27D9"/>
    <w:rsid w:val="007D3466"/>
    <w:rsid w:val="007D63CF"/>
    <w:rsid w:val="007D66A2"/>
    <w:rsid w:val="007D72B9"/>
    <w:rsid w:val="007D7F75"/>
    <w:rsid w:val="007E3639"/>
    <w:rsid w:val="007E60A6"/>
    <w:rsid w:val="007E703D"/>
    <w:rsid w:val="007F130D"/>
    <w:rsid w:val="007F1794"/>
    <w:rsid w:val="007F3B39"/>
    <w:rsid w:val="007F47B3"/>
    <w:rsid w:val="007F4AB2"/>
    <w:rsid w:val="00803329"/>
    <w:rsid w:val="00816125"/>
    <w:rsid w:val="00817DEE"/>
    <w:rsid w:val="00825466"/>
    <w:rsid w:val="00825D11"/>
    <w:rsid w:val="008276B9"/>
    <w:rsid w:val="00832EE6"/>
    <w:rsid w:val="00833CE5"/>
    <w:rsid w:val="00833E2B"/>
    <w:rsid w:val="00836649"/>
    <w:rsid w:val="00836C9A"/>
    <w:rsid w:val="00837121"/>
    <w:rsid w:val="00842609"/>
    <w:rsid w:val="00844052"/>
    <w:rsid w:val="008442F9"/>
    <w:rsid w:val="00844DC1"/>
    <w:rsid w:val="00845577"/>
    <w:rsid w:val="00845AE3"/>
    <w:rsid w:val="00845FBE"/>
    <w:rsid w:val="00846261"/>
    <w:rsid w:val="008464E4"/>
    <w:rsid w:val="00846658"/>
    <w:rsid w:val="00850411"/>
    <w:rsid w:val="008505D2"/>
    <w:rsid w:val="008505E2"/>
    <w:rsid w:val="00851C58"/>
    <w:rsid w:val="00852322"/>
    <w:rsid w:val="008523DA"/>
    <w:rsid w:val="00852652"/>
    <w:rsid w:val="00854B2E"/>
    <w:rsid w:val="00856BBF"/>
    <w:rsid w:val="00857C75"/>
    <w:rsid w:val="0086369E"/>
    <w:rsid w:val="00865387"/>
    <w:rsid w:val="008704FD"/>
    <w:rsid w:val="00871341"/>
    <w:rsid w:val="008725E9"/>
    <w:rsid w:val="00874BC0"/>
    <w:rsid w:val="00875535"/>
    <w:rsid w:val="008806CF"/>
    <w:rsid w:val="00881286"/>
    <w:rsid w:val="00881A61"/>
    <w:rsid w:val="00884646"/>
    <w:rsid w:val="0088485D"/>
    <w:rsid w:val="0088541F"/>
    <w:rsid w:val="008871E4"/>
    <w:rsid w:val="0089007E"/>
    <w:rsid w:val="008913D7"/>
    <w:rsid w:val="008A1BD6"/>
    <w:rsid w:val="008A1BD9"/>
    <w:rsid w:val="008B0973"/>
    <w:rsid w:val="008B2A84"/>
    <w:rsid w:val="008B481A"/>
    <w:rsid w:val="008B6443"/>
    <w:rsid w:val="008B679F"/>
    <w:rsid w:val="008C0DAE"/>
    <w:rsid w:val="008C1EE6"/>
    <w:rsid w:val="008D566D"/>
    <w:rsid w:val="008D78A9"/>
    <w:rsid w:val="008E0343"/>
    <w:rsid w:val="008E11C6"/>
    <w:rsid w:val="008E44E1"/>
    <w:rsid w:val="008F00CE"/>
    <w:rsid w:val="008F1AFC"/>
    <w:rsid w:val="008F1EEE"/>
    <w:rsid w:val="009044AB"/>
    <w:rsid w:val="009053C2"/>
    <w:rsid w:val="009056F8"/>
    <w:rsid w:val="0090680D"/>
    <w:rsid w:val="00910D8A"/>
    <w:rsid w:val="00910E67"/>
    <w:rsid w:val="0091130F"/>
    <w:rsid w:val="00916DF2"/>
    <w:rsid w:val="009177BF"/>
    <w:rsid w:val="009220A4"/>
    <w:rsid w:val="00936355"/>
    <w:rsid w:val="00940023"/>
    <w:rsid w:val="009433FD"/>
    <w:rsid w:val="00944382"/>
    <w:rsid w:val="00945368"/>
    <w:rsid w:val="009454B6"/>
    <w:rsid w:val="00950428"/>
    <w:rsid w:val="009521D1"/>
    <w:rsid w:val="009540FD"/>
    <w:rsid w:val="00955060"/>
    <w:rsid w:val="00955B1E"/>
    <w:rsid w:val="00955F7A"/>
    <w:rsid w:val="0095677D"/>
    <w:rsid w:val="00957AD8"/>
    <w:rsid w:val="00960637"/>
    <w:rsid w:val="00960B43"/>
    <w:rsid w:val="009614C4"/>
    <w:rsid w:val="00964509"/>
    <w:rsid w:val="009715B9"/>
    <w:rsid w:val="00975565"/>
    <w:rsid w:val="009804AD"/>
    <w:rsid w:val="00981804"/>
    <w:rsid w:val="00981980"/>
    <w:rsid w:val="00982B0C"/>
    <w:rsid w:val="00983372"/>
    <w:rsid w:val="00984896"/>
    <w:rsid w:val="00984BF7"/>
    <w:rsid w:val="0098549D"/>
    <w:rsid w:val="00986451"/>
    <w:rsid w:val="0099221D"/>
    <w:rsid w:val="00995BBE"/>
    <w:rsid w:val="00996407"/>
    <w:rsid w:val="009977AE"/>
    <w:rsid w:val="00997C57"/>
    <w:rsid w:val="009A2E9C"/>
    <w:rsid w:val="009B1251"/>
    <w:rsid w:val="009B39CE"/>
    <w:rsid w:val="009B532B"/>
    <w:rsid w:val="009C161A"/>
    <w:rsid w:val="009C23A7"/>
    <w:rsid w:val="009D0114"/>
    <w:rsid w:val="009D1B84"/>
    <w:rsid w:val="009D231B"/>
    <w:rsid w:val="009D27D4"/>
    <w:rsid w:val="009D362E"/>
    <w:rsid w:val="009D478E"/>
    <w:rsid w:val="009D5942"/>
    <w:rsid w:val="009D61A1"/>
    <w:rsid w:val="009E0EC0"/>
    <w:rsid w:val="009E3AE1"/>
    <w:rsid w:val="009E64E6"/>
    <w:rsid w:val="009E73F0"/>
    <w:rsid w:val="009F1E6E"/>
    <w:rsid w:val="009F25BD"/>
    <w:rsid w:val="009F3298"/>
    <w:rsid w:val="009F3CE0"/>
    <w:rsid w:val="009F48C1"/>
    <w:rsid w:val="009F5B3D"/>
    <w:rsid w:val="00A0146C"/>
    <w:rsid w:val="00A1273A"/>
    <w:rsid w:val="00A15B8C"/>
    <w:rsid w:val="00A20B62"/>
    <w:rsid w:val="00A20B8C"/>
    <w:rsid w:val="00A20FC8"/>
    <w:rsid w:val="00A214B4"/>
    <w:rsid w:val="00A26415"/>
    <w:rsid w:val="00A30FAB"/>
    <w:rsid w:val="00A32B4E"/>
    <w:rsid w:val="00A33E5C"/>
    <w:rsid w:val="00A40B3C"/>
    <w:rsid w:val="00A41184"/>
    <w:rsid w:val="00A416F7"/>
    <w:rsid w:val="00A426A1"/>
    <w:rsid w:val="00A50380"/>
    <w:rsid w:val="00A5265C"/>
    <w:rsid w:val="00A538D2"/>
    <w:rsid w:val="00A53936"/>
    <w:rsid w:val="00A544BD"/>
    <w:rsid w:val="00A54F95"/>
    <w:rsid w:val="00A5599F"/>
    <w:rsid w:val="00A574D1"/>
    <w:rsid w:val="00A60091"/>
    <w:rsid w:val="00A61121"/>
    <w:rsid w:val="00A62C09"/>
    <w:rsid w:val="00A67FC7"/>
    <w:rsid w:val="00A71401"/>
    <w:rsid w:val="00A732B5"/>
    <w:rsid w:val="00A73A6A"/>
    <w:rsid w:val="00A74D5D"/>
    <w:rsid w:val="00A76D77"/>
    <w:rsid w:val="00A823C2"/>
    <w:rsid w:val="00A86280"/>
    <w:rsid w:val="00A91963"/>
    <w:rsid w:val="00A92125"/>
    <w:rsid w:val="00A97CAE"/>
    <w:rsid w:val="00A97D72"/>
    <w:rsid w:val="00AA5E77"/>
    <w:rsid w:val="00AA6FB3"/>
    <w:rsid w:val="00AA72D6"/>
    <w:rsid w:val="00AB2337"/>
    <w:rsid w:val="00AB2DFA"/>
    <w:rsid w:val="00AC07AE"/>
    <w:rsid w:val="00AC1A76"/>
    <w:rsid w:val="00AC2D1E"/>
    <w:rsid w:val="00AC6610"/>
    <w:rsid w:val="00AC7671"/>
    <w:rsid w:val="00AC7785"/>
    <w:rsid w:val="00AD1294"/>
    <w:rsid w:val="00AD1E3E"/>
    <w:rsid w:val="00AD313E"/>
    <w:rsid w:val="00AD375F"/>
    <w:rsid w:val="00AD4AB6"/>
    <w:rsid w:val="00AD60B3"/>
    <w:rsid w:val="00AD7939"/>
    <w:rsid w:val="00AE1A39"/>
    <w:rsid w:val="00AE1F37"/>
    <w:rsid w:val="00AE34F0"/>
    <w:rsid w:val="00AE410F"/>
    <w:rsid w:val="00AE490B"/>
    <w:rsid w:val="00AE7721"/>
    <w:rsid w:val="00AF0BBA"/>
    <w:rsid w:val="00AF0F71"/>
    <w:rsid w:val="00AF0FAE"/>
    <w:rsid w:val="00AF0FFB"/>
    <w:rsid w:val="00AF1827"/>
    <w:rsid w:val="00AF1A63"/>
    <w:rsid w:val="00AF36A2"/>
    <w:rsid w:val="00AF48F9"/>
    <w:rsid w:val="00AF51D6"/>
    <w:rsid w:val="00AF71C8"/>
    <w:rsid w:val="00B023EE"/>
    <w:rsid w:val="00B035C3"/>
    <w:rsid w:val="00B0455E"/>
    <w:rsid w:val="00B05946"/>
    <w:rsid w:val="00B13BDB"/>
    <w:rsid w:val="00B1443A"/>
    <w:rsid w:val="00B17FC2"/>
    <w:rsid w:val="00B2090C"/>
    <w:rsid w:val="00B220C8"/>
    <w:rsid w:val="00B24295"/>
    <w:rsid w:val="00B24DF5"/>
    <w:rsid w:val="00B2680F"/>
    <w:rsid w:val="00B3028D"/>
    <w:rsid w:val="00B330AC"/>
    <w:rsid w:val="00B333D0"/>
    <w:rsid w:val="00B33855"/>
    <w:rsid w:val="00B35F7F"/>
    <w:rsid w:val="00B4103A"/>
    <w:rsid w:val="00B4330D"/>
    <w:rsid w:val="00B44690"/>
    <w:rsid w:val="00B44CFF"/>
    <w:rsid w:val="00B45CA3"/>
    <w:rsid w:val="00B47CD4"/>
    <w:rsid w:val="00B52E7C"/>
    <w:rsid w:val="00B52EA4"/>
    <w:rsid w:val="00B54429"/>
    <w:rsid w:val="00B560AD"/>
    <w:rsid w:val="00B60733"/>
    <w:rsid w:val="00B61165"/>
    <w:rsid w:val="00B629D4"/>
    <w:rsid w:val="00B63CE1"/>
    <w:rsid w:val="00B6407F"/>
    <w:rsid w:val="00B647E1"/>
    <w:rsid w:val="00B64C82"/>
    <w:rsid w:val="00B652EB"/>
    <w:rsid w:val="00B66329"/>
    <w:rsid w:val="00B72376"/>
    <w:rsid w:val="00B72E17"/>
    <w:rsid w:val="00B74928"/>
    <w:rsid w:val="00B755E0"/>
    <w:rsid w:val="00B80D48"/>
    <w:rsid w:val="00B838AF"/>
    <w:rsid w:val="00B86B64"/>
    <w:rsid w:val="00B924C6"/>
    <w:rsid w:val="00B958A9"/>
    <w:rsid w:val="00BA0C1B"/>
    <w:rsid w:val="00BA29C0"/>
    <w:rsid w:val="00BA6D8D"/>
    <w:rsid w:val="00BA7E03"/>
    <w:rsid w:val="00BA7EA1"/>
    <w:rsid w:val="00BB0CD6"/>
    <w:rsid w:val="00BB0DF8"/>
    <w:rsid w:val="00BB338F"/>
    <w:rsid w:val="00BB3C38"/>
    <w:rsid w:val="00BB55F7"/>
    <w:rsid w:val="00BB6114"/>
    <w:rsid w:val="00BC1C8B"/>
    <w:rsid w:val="00BC53C5"/>
    <w:rsid w:val="00BC5718"/>
    <w:rsid w:val="00BD1D75"/>
    <w:rsid w:val="00BD35E9"/>
    <w:rsid w:val="00BD4C41"/>
    <w:rsid w:val="00BD4E75"/>
    <w:rsid w:val="00BD7384"/>
    <w:rsid w:val="00BE2D2C"/>
    <w:rsid w:val="00BE7918"/>
    <w:rsid w:val="00BF07D0"/>
    <w:rsid w:val="00BF0B2D"/>
    <w:rsid w:val="00BF0BC4"/>
    <w:rsid w:val="00BF2D5A"/>
    <w:rsid w:val="00BF3F81"/>
    <w:rsid w:val="00BF498B"/>
    <w:rsid w:val="00BF6D64"/>
    <w:rsid w:val="00C005EA"/>
    <w:rsid w:val="00C01246"/>
    <w:rsid w:val="00C04C1E"/>
    <w:rsid w:val="00C05810"/>
    <w:rsid w:val="00C05FA4"/>
    <w:rsid w:val="00C0610F"/>
    <w:rsid w:val="00C06C1E"/>
    <w:rsid w:val="00C07557"/>
    <w:rsid w:val="00C109B4"/>
    <w:rsid w:val="00C1186A"/>
    <w:rsid w:val="00C12746"/>
    <w:rsid w:val="00C1328C"/>
    <w:rsid w:val="00C14062"/>
    <w:rsid w:val="00C14EE2"/>
    <w:rsid w:val="00C16EA8"/>
    <w:rsid w:val="00C17237"/>
    <w:rsid w:val="00C22DB4"/>
    <w:rsid w:val="00C335D7"/>
    <w:rsid w:val="00C35D03"/>
    <w:rsid w:val="00C361FB"/>
    <w:rsid w:val="00C41C45"/>
    <w:rsid w:val="00C45482"/>
    <w:rsid w:val="00C46A16"/>
    <w:rsid w:val="00C46B32"/>
    <w:rsid w:val="00C475A0"/>
    <w:rsid w:val="00C534F4"/>
    <w:rsid w:val="00C53669"/>
    <w:rsid w:val="00C543B8"/>
    <w:rsid w:val="00C5681F"/>
    <w:rsid w:val="00C5722E"/>
    <w:rsid w:val="00C602DA"/>
    <w:rsid w:val="00C6129D"/>
    <w:rsid w:val="00C64D0E"/>
    <w:rsid w:val="00C674D2"/>
    <w:rsid w:val="00C75486"/>
    <w:rsid w:val="00C767E0"/>
    <w:rsid w:val="00C82310"/>
    <w:rsid w:val="00C8335B"/>
    <w:rsid w:val="00C84371"/>
    <w:rsid w:val="00C845AE"/>
    <w:rsid w:val="00C84C4D"/>
    <w:rsid w:val="00C8597D"/>
    <w:rsid w:val="00C86EF8"/>
    <w:rsid w:val="00C871F9"/>
    <w:rsid w:val="00C87299"/>
    <w:rsid w:val="00C90F09"/>
    <w:rsid w:val="00C9125C"/>
    <w:rsid w:val="00C91B19"/>
    <w:rsid w:val="00C93191"/>
    <w:rsid w:val="00C93F5E"/>
    <w:rsid w:val="00C94F62"/>
    <w:rsid w:val="00C95144"/>
    <w:rsid w:val="00C9560D"/>
    <w:rsid w:val="00C95850"/>
    <w:rsid w:val="00C95915"/>
    <w:rsid w:val="00C973F0"/>
    <w:rsid w:val="00CA29A7"/>
    <w:rsid w:val="00CA3292"/>
    <w:rsid w:val="00CA44A3"/>
    <w:rsid w:val="00CA7107"/>
    <w:rsid w:val="00CA748D"/>
    <w:rsid w:val="00CB131C"/>
    <w:rsid w:val="00CB1DC0"/>
    <w:rsid w:val="00CB4191"/>
    <w:rsid w:val="00CB5467"/>
    <w:rsid w:val="00CC023F"/>
    <w:rsid w:val="00CC02D2"/>
    <w:rsid w:val="00CC03EF"/>
    <w:rsid w:val="00CC0B03"/>
    <w:rsid w:val="00CC174A"/>
    <w:rsid w:val="00CC37DF"/>
    <w:rsid w:val="00CC3E9E"/>
    <w:rsid w:val="00CC5F0D"/>
    <w:rsid w:val="00CC71E9"/>
    <w:rsid w:val="00CD19D3"/>
    <w:rsid w:val="00CD1B52"/>
    <w:rsid w:val="00CD3C76"/>
    <w:rsid w:val="00CD3FC1"/>
    <w:rsid w:val="00CE0E21"/>
    <w:rsid w:val="00CE181D"/>
    <w:rsid w:val="00CE2D42"/>
    <w:rsid w:val="00CE54A3"/>
    <w:rsid w:val="00CE78BF"/>
    <w:rsid w:val="00CF4741"/>
    <w:rsid w:val="00CF4CD4"/>
    <w:rsid w:val="00CF5B67"/>
    <w:rsid w:val="00CF716E"/>
    <w:rsid w:val="00CF7400"/>
    <w:rsid w:val="00CF7A7F"/>
    <w:rsid w:val="00D004C5"/>
    <w:rsid w:val="00D0156D"/>
    <w:rsid w:val="00D01621"/>
    <w:rsid w:val="00D043A5"/>
    <w:rsid w:val="00D053C4"/>
    <w:rsid w:val="00D064F9"/>
    <w:rsid w:val="00D10331"/>
    <w:rsid w:val="00D10B04"/>
    <w:rsid w:val="00D11CAE"/>
    <w:rsid w:val="00D11F40"/>
    <w:rsid w:val="00D14A62"/>
    <w:rsid w:val="00D14F99"/>
    <w:rsid w:val="00D21913"/>
    <w:rsid w:val="00D22800"/>
    <w:rsid w:val="00D22C4F"/>
    <w:rsid w:val="00D2478C"/>
    <w:rsid w:val="00D27508"/>
    <w:rsid w:val="00D27753"/>
    <w:rsid w:val="00D30948"/>
    <w:rsid w:val="00D325D9"/>
    <w:rsid w:val="00D35ED0"/>
    <w:rsid w:val="00D371A6"/>
    <w:rsid w:val="00D37D4F"/>
    <w:rsid w:val="00D425F9"/>
    <w:rsid w:val="00D43E4C"/>
    <w:rsid w:val="00D446F2"/>
    <w:rsid w:val="00D5215B"/>
    <w:rsid w:val="00D533E7"/>
    <w:rsid w:val="00D54DA5"/>
    <w:rsid w:val="00D55241"/>
    <w:rsid w:val="00D555CA"/>
    <w:rsid w:val="00D560A3"/>
    <w:rsid w:val="00D56ED5"/>
    <w:rsid w:val="00D5795A"/>
    <w:rsid w:val="00D57BD4"/>
    <w:rsid w:val="00D60341"/>
    <w:rsid w:val="00D65128"/>
    <w:rsid w:val="00D658C8"/>
    <w:rsid w:val="00D65E80"/>
    <w:rsid w:val="00D65F6A"/>
    <w:rsid w:val="00D80F9C"/>
    <w:rsid w:val="00D81424"/>
    <w:rsid w:val="00D8507A"/>
    <w:rsid w:val="00DA0649"/>
    <w:rsid w:val="00DA2E4A"/>
    <w:rsid w:val="00DA2F04"/>
    <w:rsid w:val="00DA76CF"/>
    <w:rsid w:val="00DB1062"/>
    <w:rsid w:val="00DB13CE"/>
    <w:rsid w:val="00DB69ED"/>
    <w:rsid w:val="00DB6A28"/>
    <w:rsid w:val="00DB708D"/>
    <w:rsid w:val="00DB7352"/>
    <w:rsid w:val="00DB7729"/>
    <w:rsid w:val="00DC17A7"/>
    <w:rsid w:val="00DC1D5C"/>
    <w:rsid w:val="00DC39C3"/>
    <w:rsid w:val="00DC5AB3"/>
    <w:rsid w:val="00DC62D0"/>
    <w:rsid w:val="00DC6914"/>
    <w:rsid w:val="00DC6E9A"/>
    <w:rsid w:val="00DD2F9A"/>
    <w:rsid w:val="00DD3B5F"/>
    <w:rsid w:val="00DD58B1"/>
    <w:rsid w:val="00DD5938"/>
    <w:rsid w:val="00DD7F74"/>
    <w:rsid w:val="00DE17DA"/>
    <w:rsid w:val="00DE1AD7"/>
    <w:rsid w:val="00DE3131"/>
    <w:rsid w:val="00DE40E0"/>
    <w:rsid w:val="00DE58CE"/>
    <w:rsid w:val="00DF0F7F"/>
    <w:rsid w:val="00DF128B"/>
    <w:rsid w:val="00DF162F"/>
    <w:rsid w:val="00DF183C"/>
    <w:rsid w:val="00DF24CC"/>
    <w:rsid w:val="00DF2D88"/>
    <w:rsid w:val="00DF2EB4"/>
    <w:rsid w:val="00DF6993"/>
    <w:rsid w:val="00DF780F"/>
    <w:rsid w:val="00E00C6A"/>
    <w:rsid w:val="00E02B98"/>
    <w:rsid w:val="00E03DDD"/>
    <w:rsid w:val="00E05CC8"/>
    <w:rsid w:val="00E06670"/>
    <w:rsid w:val="00E11858"/>
    <w:rsid w:val="00E12321"/>
    <w:rsid w:val="00E12F0E"/>
    <w:rsid w:val="00E1341C"/>
    <w:rsid w:val="00E13A3C"/>
    <w:rsid w:val="00E14092"/>
    <w:rsid w:val="00E15D2C"/>
    <w:rsid w:val="00E203AE"/>
    <w:rsid w:val="00E21E9C"/>
    <w:rsid w:val="00E22509"/>
    <w:rsid w:val="00E25A4A"/>
    <w:rsid w:val="00E319E8"/>
    <w:rsid w:val="00E32BF7"/>
    <w:rsid w:val="00E34C6F"/>
    <w:rsid w:val="00E35EF5"/>
    <w:rsid w:val="00E411AF"/>
    <w:rsid w:val="00E4321F"/>
    <w:rsid w:val="00E4495D"/>
    <w:rsid w:val="00E4500A"/>
    <w:rsid w:val="00E46874"/>
    <w:rsid w:val="00E46F48"/>
    <w:rsid w:val="00E47326"/>
    <w:rsid w:val="00E5087A"/>
    <w:rsid w:val="00E509CD"/>
    <w:rsid w:val="00E51635"/>
    <w:rsid w:val="00E51B1D"/>
    <w:rsid w:val="00E51E3B"/>
    <w:rsid w:val="00E51FFC"/>
    <w:rsid w:val="00E552E1"/>
    <w:rsid w:val="00E60755"/>
    <w:rsid w:val="00E642D3"/>
    <w:rsid w:val="00E64BF9"/>
    <w:rsid w:val="00E64C65"/>
    <w:rsid w:val="00E65015"/>
    <w:rsid w:val="00E65589"/>
    <w:rsid w:val="00E71558"/>
    <w:rsid w:val="00E73B6C"/>
    <w:rsid w:val="00E75DA1"/>
    <w:rsid w:val="00E76ED0"/>
    <w:rsid w:val="00E77A0E"/>
    <w:rsid w:val="00E8251C"/>
    <w:rsid w:val="00E832FF"/>
    <w:rsid w:val="00E84267"/>
    <w:rsid w:val="00E86E07"/>
    <w:rsid w:val="00E873E1"/>
    <w:rsid w:val="00E91BFB"/>
    <w:rsid w:val="00E94E4F"/>
    <w:rsid w:val="00E95539"/>
    <w:rsid w:val="00EA020A"/>
    <w:rsid w:val="00EA2039"/>
    <w:rsid w:val="00EA2956"/>
    <w:rsid w:val="00EA2CD2"/>
    <w:rsid w:val="00EA566F"/>
    <w:rsid w:val="00EA59CC"/>
    <w:rsid w:val="00EB03A1"/>
    <w:rsid w:val="00EB1211"/>
    <w:rsid w:val="00EB1719"/>
    <w:rsid w:val="00EB68F3"/>
    <w:rsid w:val="00EC0C88"/>
    <w:rsid w:val="00EC12D6"/>
    <w:rsid w:val="00EC1EF9"/>
    <w:rsid w:val="00EC2D87"/>
    <w:rsid w:val="00EC45AD"/>
    <w:rsid w:val="00EC585A"/>
    <w:rsid w:val="00EC7587"/>
    <w:rsid w:val="00ED0434"/>
    <w:rsid w:val="00ED3B85"/>
    <w:rsid w:val="00ED7CD9"/>
    <w:rsid w:val="00EE26B6"/>
    <w:rsid w:val="00EE4921"/>
    <w:rsid w:val="00EE6372"/>
    <w:rsid w:val="00EE69D0"/>
    <w:rsid w:val="00EF21D2"/>
    <w:rsid w:val="00EF4662"/>
    <w:rsid w:val="00EF60BA"/>
    <w:rsid w:val="00EF6C6D"/>
    <w:rsid w:val="00F00535"/>
    <w:rsid w:val="00F0200C"/>
    <w:rsid w:val="00F0212F"/>
    <w:rsid w:val="00F03C5E"/>
    <w:rsid w:val="00F03FC2"/>
    <w:rsid w:val="00F0461D"/>
    <w:rsid w:val="00F1290F"/>
    <w:rsid w:val="00F13B8E"/>
    <w:rsid w:val="00F1612C"/>
    <w:rsid w:val="00F1684F"/>
    <w:rsid w:val="00F2070D"/>
    <w:rsid w:val="00F23ECB"/>
    <w:rsid w:val="00F24612"/>
    <w:rsid w:val="00F2490D"/>
    <w:rsid w:val="00F252B1"/>
    <w:rsid w:val="00F25A61"/>
    <w:rsid w:val="00F27480"/>
    <w:rsid w:val="00F300F6"/>
    <w:rsid w:val="00F30544"/>
    <w:rsid w:val="00F30C2C"/>
    <w:rsid w:val="00F30DC4"/>
    <w:rsid w:val="00F31213"/>
    <w:rsid w:val="00F32355"/>
    <w:rsid w:val="00F32B64"/>
    <w:rsid w:val="00F33846"/>
    <w:rsid w:val="00F35608"/>
    <w:rsid w:val="00F35A5E"/>
    <w:rsid w:val="00F43987"/>
    <w:rsid w:val="00F43B85"/>
    <w:rsid w:val="00F470D8"/>
    <w:rsid w:val="00F568BC"/>
    <w:rsid w:val="00F56931"/>
    <w:rsid w:val="00F61419"/>
    <w:rsid w:val="00F61C0D"/>
    <w:rsid w:val="00F62A09"/>
    <w:rsid w:val="00F63CB1"/>
    <w:rsid w:val="00F66295"/>
    <w:rsid w:val="00F66F93"/>
    <w:rsid w:val="00F67C0B"/>
    <w:rsid w:val="00F70258"/>
    <w:rsid w:val="00F71474"/>
    <w:rsid w:val="00F714E8"/>
    <w:rsid w:val="00F71718"/>
    <w:rsid w:val="00F737C9"/>
    <w:rsid w:val="00F741AC"/>
    <w:rsid w:val="00F77430"/>
    <w:rsid w:val="00F810C3"/>
    <w:rsid w:val="00F81F79"/>
    <w:rsid w:val="00F82BBD"/>
    <w:rsid w:val="00F830BB"/>
    <w:rsid w:val="00F845BE"/>
    <w:rsid w:val="00F864EF"/>
    <w:rsid w:val="00F9305D"/>
    <w:rsid w:val="00F93929"/>
    <w:rsid w:val="00F953D5"/>
    <w:rsid w:val="00F974E1"/>
    <w:rsid w:val="00FA156F"/>
    <w:rsid w:val="00FA21B7"/>
    <w:rsid w:val="00FA2659"/>
    <w:rsid w:val="00FA2B47"/>
    <w:rsid w:val="00FA3695"/>
    <w:rsid w:val="00FA4164"/>
    <w:rsid w:val="00FA4AE3"/>
    <w:rsid w:val="00FA5058"/>
    <w:rsid w:val="00FA7EDE"/>
    <w:rsid w:val="00FB0368"/>
    <w:rsid w:val="00FB05E6"/>
    <w:rsid w:val="00FB2ED4"/>
    <w:rsid w:val="00FB702C"/>
    <w:rsid w:val="00FC4755"/>
    <w:rsid w:val="00FC54FB"/>
    <w:rsid w:val="00FC7CD7"/>
    <w:rsid w:val="00FD23D1"/>
    <w:rsid w:val="00FD3898"/>
    <w:rsid w:val="00FD4004"/>
    <w:rsid w:val="00FD4600"/>
    <w:rsid w:val="00FD5644"/>
    <w:rsid w:val="00FD5CE7"/>
    <w:rsid w:val="00FD6431"/>
    <w:rsid w:val="00FD64DA"/>
    <w:rsid w:val="00FD6CD1"/>
    <w:rsid w:val="00FD7BC4"/>
    <w:rsid w:val="00FE1F2E"/>
    <w:rsid w:val="00FE5922"/>
    <w:rsid w:val="00FE7D73"/>
    <w:rsid w:val="00FF0385"/>
    <w:rsid w:val="00FF3AAA"/>
    <w:rsid w:val="00FF4257"/>
    <w:rsid w:val="00FF4549"/>
    <w:rsid w:val="00FF4609"/>
    <w:rsid w:val="00FF6866"/>
    <w:rsid w:val="00FF6E5F"/>
    <w:rsid w:val="00FF7051"/>
    <w:rsid w:val="011F17B1"/>
    <w:rsid w:val="015F520E"/>
    <w:rsid w:val="01AC0E7A"/>
    <w:rsid w:val="025D09B0"/>
    <w:rsid w:val="02B0585B"/>
    <w:rsid w:val="02DB2479"/>
    <w:rsid w:val="02DC7A47"/>
    <w:rsid w:val="02F45E67"/>
    <w:rsid w:val="031E55D1"/>
    <w:rsid w:val="03354AED"/>
    <w:rsid w:val="03632F4E"/>
    <w:rsid w:val="03901034"/>
    <w:rsid w:val="03BB3311"/>
    <w:rsid w:val="03BD74C0"/>
    <w:rsid w:val="047F13EB"/>
    <w:rsid w:val="04B33B92"/>
    <w:rsid w:val="04D40EB4"/>
    <w:rsid w:val="05ED01F1"/>
    <w:rsid w:val="06021CFC"/>
    <w:rsid w:val="063C7392"/>
    <w:rsid w:val="067D5E68"/>
    <w:rsid w:val="090A52B4"/>
    <w:rsid w:val="092E279E"/>
    <w:rsid w:val="099B6E43"/>
    <w:rsid w:val="09D8215C"/>
    <w:rsid w:val="0A5002F7"/>
    <w:rsid w:val="0A51342A"/>
    <w:rsid w:val="0A620D62"/>
    <w:rsid w:val="0A630F21"/>
    <w:rsid w:val="0B1E6673"/>
    <w:rsid w:val="0B993BF4"/>
    <w:rsid w:val="0BAB7F7D"/>
    <w:rsid w:val="0BC75B31"/>
    <w:rsid w:val="0C7566AF"/>
    <w:rsid w:val="0D243CAD"/>
    <w:rsid w:val="0D8428B2"/>
    <w:rsid w:val="0E503900"/>
    <w:rsid w:val="0E6147BE"/>
    <w:rsid w:val="0ECFABA6"/>
    <w:rsid w:val="0F2C27E1"/>
    <w:rsid w:val="0F846DED"/>
    <w:rsid w:val="0FD27C6D"/>
    <w:rsid w:val="0FED30B8"/>
    <w:rsid w:val="107E1578"/>
    <w:rsid w:val="10B51ED1"/>
    <w:rsid w:val="10BE2767"/>
    <w:rsid w:val="10EE3A2E"/>
    <w:rsid w:val="11124A96"/>
    <w:rsid w:val="12DE09BC"/>
    <w:rsid w:val="12E926BC"/>
    <w:rsid w:val="139B7086"/>
    <w:rsid w:val="13E25E71"/>
    <w:rsid w:val="13F052C4"/>
    <w:rsid w:val="146704B1"/>
    <w:rsid w:val="14CC1BF3"/>
    <w:rsid w:val="14DD5F5B"/>
    <w:rsid w:val="1555138F"/>
    <w:rsid w:val="15661161"/>
    <w:rsid w:val="15753A9F"/>
    <w:rsid w:val="15C84173"/>
    <w:rsid w:val="15F16272"/>
    <w:rsid w:val="167D6FC8"/>
    <w:rsid w:val="16BB5D82"/>
    <w:rsid w:val="16DB03E4"/>
    <w:rsid w:val="170D6E96"/>
    <w:rsid w:val="173F099C"/>
    <w:rsid w:val="17CB159F"/>
    <w:rsid w:val="17EC2703"/>
    <w:rsid w:val="17F02689"/>
    <w:rsid w:val="18AB60E7"/>
    <w:rsid w:val="18F374C8"/>
    <w:rsid w:val="192C5B1A"/>
    <w:rsid w:val="194900D6"/>
    <w:rsid w:val="197B599B"/>
    <w:rsid w:val="197B7D74"/>
    <w:rsid w:val="198B4332"/>
    <w:rsid w:val="19C51899"/>
    <w:rsid w:val="1A2308F8"/>
    <w:rsid w:val="1A7B5315"/>
    <w:rsid w:val="1ABF33A2"/>
    <w:rsid w:val="1ABF7C3E"/>
    <w:rsid w:val="1AD032B3"/>
    <w:rsid w:val="1AD736B7"/>
    <w:rsid w:val="1B416A06"/>
    <w:rsid w:val="1C935C6D"/>
    <w:rsid w:val="1C966BCB"/>
    <w:rsid w:val="1CE771E0"/>
    <w:rsid w:val="1CF60439"/>
    <w:rsid w:val="1D962E38"/>
    <w:rsid w:val="1DAA5592"/>
    <w:rsid w:val="1E3C48BF"/>
    <w:rsid w:val="1EA0545B"/>
    <w:rsid w:val="1EBD3B2D"/>
    <w:rsid w:val="1EDB4F67"/>
    <w:rsid w:val="1EF331E7"/>
    <w:rsid w:val="1F3C2E2B"/>
    <w:rsid w:val="1F59201F"/>
    <w:rsid w:val="1F6C2E2A"/>
    <w:rsid w:val="1F9111B5"/>
    <w:rsid w:val="1FB0160F"/>
    <w:rsid w:val="1FDD7887"/>
    <w:rsid w:val="1FFFBA3A"/>
    <w:rsid w:val="20353136"/>
    <w:rsid w:val="2102598D"/>
    <w:rsid w:val="21A42463"/>
    <w:rsid w:val="21D61AC1"/>
    <w:rsid w:val="220C4E33"/>
    <w:rsid w:val="22943DFB"/>
    <w:rsid w:val="22D356B2"/>
    <w:rsid w:val="22E322A4"/>
    <w:rsid w:val="2470450E"/>
    <w:rsid w:val="24B92B47"/>
    <w:rsid w:val="25795E86"/>
    <w:rsid w:val="259F101B"/>
    <w:rsid w:val="25C47CED"/>
    <w:rsid w:val="26315888"/>
    <w:rsid w:val="27110526"/>
    <w:rsid w:val="277733B9"/>
    <w:rsid w:val="27A863BF"/>
    <w:rsid w:val="27D11F41"/>
    <w:rsid w:val="28550FE3"/>
    <w:rsid w:val="297D1C14"/>
    <w:rsid w:val="2A8F5EDF"/>
    <w:rsid w:val="2BB97CE5"/>
    <w:rsid w:val="2BED7B95"/>
    <w:rsid w:val="2C1009DA"/>
    <w:rsid w:val="2C710A9C"/>
    <w:rsid w:val="2C827BC0"/>
    <w:rsid w:val="2DC27132"/>
    <w:rsid w:val="2DD937D5"/>
    <w:rsid w:val="2E227463"/>
    <w:rsid w:val="2E69092F"/>
    <w:rsid w:val="2E93549A"/>
    <w:rsid w:val="2EA278BC"/>
    <w:rsid w:val="2EFA1321"/>
    <w:rsid w:val="2F0242A1"/>
    <w:rsid w:val="2F167231"/>
    <w:rsid w:val="2F21713D"/>
    <w:rsid w:val="2F3A093D"/>
    <w:rsid w:val="2F6234D3"/>
    <w:rsid w:val="2FD131B2"/>
    <w:rsid w:val="303759F6"/>
    <w:rsid w:val="305E3DB9"/>
    <w:rsid w:val="30E368F7"/>
    <w:rsid w:val="30ED20F4"/>
    <w:rsid w:val="31E334AB"/>
    <w:rsid w:val="32A0578A"/>
    <w:rsid w:val="32F94452"/>
    <w:rsid w:val="32F9A30E"/>
    <w:rsid w:val="336A1BD6"/>
    <w:rsid w:val="33A02356"/>
    <w:rsid w:val="33D00258"/>
    <w:rsid w:val="351F3164"/>
    <w:rsid w:val="35593BEA"/>
    <w:rsid w:val="3564635A"/>
    <w:rsid w:val="35AB1246"/>
    <w:rsid w:val="368469F2"/>
    <w:rsid w:val="36DD25FD"/>
    <w:rsid w:val="36FFC01A"/>
    <w:rsid w:val="371523FF"/>
    <w:rsid w:val="372431CA"/>
    <w:rsid w:val="37B23A13"/>
    <w:rsid w:val="37BA12BB"/>
    <w:rsid w:val="37E716A0"/>
    <w:rsid w:val="37F50CDF"/>
    <w:rsid w:val="38413107"/>
    <w:rsid w:val="38646D99"/>
    <w:rsid w:val="38952A97"/>
    <w:rsid w:val="38F60882"/>
    <w:rsid w:val="391A2E26"/>
    <w:rsid w:val="395B54F0"/>
    <w:rsid w:val="397836F8"/>
    <w:rsid w:val="39AC3A45"/>
    <w:rsid w:val="3A2E2554"/>
    <w:rsid w:val="3A58091B"/>
    <w:rsid w:val="3A622FD7"/>
    <w:rsid w:val="3AE17909"/>
    <w:rsid w:val="3AFB03F0"/>
    <w:rsid w:val="3B361B2B"/>
    <w:rsid w:val="3B82764C"/>
    <w:rsid w:val="3BA614BF"/>
    <w:rsid w:val="3BB8641B"/>
    <w:rsid w:val="3C0A5EA6"/>
    <w:rsid w:val="3C1E785B"/>
    <w:rsid w:val="3C3D48E2"/>
    <w:rsid w:val="3C426BC8"/>
    <w:rsid w:val="3C6A2CEC"/>
    <w:rsid w:val="3D1F6DC3"/>
    <w:rsid w:val="3DEA1929"/>
    <w:rsid w:val="3DFF4B87"/>
    <w:rsid w:val="3E644D34"/>
    <w:rsid w:val="3EE658D5"/>
    <w:rsid w:val="3F4857AC"/>
    <w:rsid w:val="3F9675F5"/>
    <w:rsid w:val="3FBFC368"/>
    <w:rsid w:val="3FF28D5F"/>
    <w:rsid w:val="3FF941AB"/>
    <w:rsid w:val="40056E2D"/>
    <w:rsid w:val="405A0778"/>
    <w:rsid w:val="40FF250A"/>
    <w:rsid w:val="410956C7"/>
    <w:rsid w:val="41421BD9"/>
    <w:rsid w:val="41F116A8"/>
    <w:rsid w:val="427174BE"/>
    <w:rsid w:val="43824D2F"/>
    <w:rsid w:val="44263FD5"/>
    <w:rsid w:val="44945A32"/>
    <w:rsid w:val="44EC1F52"/>
    <w:rsid w:val="45FD1DC2"/>
    <w:rsid w:val="46921F36"/>
    <w:rsid w:val="46EC47F9"/>
    <w:rsid w:val="46EC6349"/>
    <w:rsid w:val="4800036F"/>
    <w:rsid w:val="48091950"/>
    <w:rsid w:val="483756F6"/>
    <w:rsid w:val="48684822"/>
    <w:rsid w:val="496D16B3"/>
    <w:rsid w:val="498030B9"/>
    <w:rsid w:val="49AA5EC7"/>
    <w:rsid w:val="4A0E2088"/>
    <w:rsid w:val="4A380C68"/>
    <w:rsid w:val="4B080428"/>
    <w:rsid w:val="4B1F32EC"/>
    <w:rsid w:val="4B750136"/>
    <w:rsid w:val="4BD70EB7"/>
    <w:rsid w:val="4C9F0698"/>
    <w:rsid w:val="4CF172BB"/>
    <w:rsid w:val="4D91193E"/>
    <w:rsid w:val="4DAA2618"/>
    <w:rsid w:val="4E0707EE"/>
    <w:rsid w:val="4F014725"/>
    <w:rsid w:val="4FC967F9"/>
    <w:rsid w:val="4FEB070A"/>
    <w:rsid w:val="505E280F"/>
    <w:rsid w:val="50F8129B"/>
    <w:rsid w:val="512376CA"/>
    <w:rsid w:val="515A46EC"/>
    <w:rsid w:val="51B13C30"/>
    <w:rsid w:val="522B53C7"/>
    <w:rsid w:val="52360369"/>
    <w:rsid w:val="525D38D0"/>
    <w:rsid w:val="52601EAD"/>
    <w:rsid w:val="52BD204D"/>
    <w:rsid w:val="534C44A4"/>
    <w:rsid w:val="536B647A"/>
    <w:rsid w:val="53B22361"/>
    <w:rsid w:val="53B417E5"/>
    <w:rsid w:val="53D063E3"/>
    <w:rsid w:val="53DE7B62"/>
    <w:rsid w:val="544B3A05"/>
    <w:rsid w:val="54D20290"/>
    <w:rsid w:val="550443C1"/>
    <w:rsid w:val="55A82BCD"/>
    <w:rsid w:val="55CFA613"/>
    <w:rsid w:val="55F8B7B6"/>
    <w:rsid w:val="573656D5"/>
    <w:rsid w:val="57D637AA"/>
    <w:rsid w:val="57E576CA"/>
    <w:rsid w:val="57FA04CF"/>
    <w:rsid w:val="5834714A"/>
    <w:rsid w:val="584D29FC"/>
    <w:rsid w:val="586F791E"/>
    <w:rsid w:val="587C2B90"/>
    <w:rsid w:val="588717C9"/>
    <w:rsid w:val="58C2033D"/>
    <w:rsid w:val="58C4462C"/>
    <w:rsid w:val="59087EE4"/>
    <w:rsid w:val="593057FD"/>
    <w:rsid w:val="59455249"/>
    <w:rsid w:val="596D6905"/>
    <w:rsid w:val="59D72BD4"/>
    <w:rsid w:val="59FD47D0"/>
    <w:rsid w:val="5AA77FAE"/>
    <w:rsid w:val="5AED7E66"/>
    <w:rsid w:val="5AFD5610"/>
    <w:rsid w:val="5B075171"/>
    <w:rsid w:val="5B2B24A8"/>
    <w:rsid w:val="5BA86FC7"/>
    <w:rsid w:val="5C0D3168"/>
    <w:rsid w:val="5C9DCF26"/>
    <w:rsid w:val="5C9F16A1"/>
    <w:rsid w:val="5CAE1487"/>
    <w:rsid w:val="5DB30CDD"/>
    <w:rsid w:val="5DC27E3E"/>
    <w:rsid w:val="5DF18510"/>
    <w:rsid w:val="5E3B5753"/>
    <w:rsid w:val="5E682DFB"/>
    <w:rsid w:val="5E683E22"/>
    <w:rsid w:val="5EA86B3E"/>
    <w:rsid w:val="5F7F212F"/>
    <w:rsid w:val="5F7F68ED"/>
    <w:rsid w:val="5FE7F8D8"/>
    <w:rsid w:val="5FFB4690"/>
    <w:rsid w:val="60233876"/>
    <w:rsid w:val="60DF0592"/>
    <w:rsid w:val="61254AAD"/>
    <w:rsid w:val="619D2236"/>
    <w:rsid w:val="61A67649"/>
    <w:rsid w:val="61AD792A"/>
    <w:rsid w:val="626C66F6"/>
    <w:rsid w:val="62817F64"/>
    <w:rsid w:val="62D5DBFE"/>
    <w:rsid w:val="635530A5"/>
    <w:rsid w:val="63F174C3"/>
    <w:rsid w:val="64421387"/>
    <w:rsid w:val="652355B9"/>
    <w:rsid w:val="65C91212"/>
    <w:rsid w:val="65D90171"/>
    <w:rsid w:val="65DE5AA9"/>
    <w:rsid w:val="661F0FEE"/>
    <w:rsid w:val="674C0DEA"/>
    <w:rsid w:val="67723A6E"/>
    <w:rsid w:val="67995B0F"/>
    <w:rsid w:val="679F8D4C"/>
    <w:rsid w:val="67B949F1"/>
    <w:rsid w:val="67B94A4B"/>
    <w:rsid w:val="67BEE9CC"/>
    <w:rsid w:val="67D64B94"/>
    <w:rsid w:val="67EB6651"/>
    <w:rsid w:val="685933B8"/>
    <w:rsid w:val="68FB5A5A"/>
    <w:rsid w:val="695C712A"/>
    <w:rsid w:val="698A7E63"/>
    <w:rsid w:val="6996073F"/>
    <w:rsid w:val="69D853F5"/>
    <w:rsid w:val="6B6162B2"/>
    <w:rsid w:val="6BFC7C6B"/>
    <w:rsid w:val="6C444FCF"/>
    <w:rsid w:val="6C4943EB"/>
    <w:rsid w:val="6C5B7135"/>
    <w:rsid w:val="6CB72AA8"/>
    <w:rsid w:val="6CCA17C9"/>
    <w:rsid w:val="6CCD7D6C"/>
    <w:rsid w:val="6CEBBC59"/>
    <w:rsid w:val="6D2F535D"/>
    <w:rsid w:val="6D3F37BC"/>
    <w:rsid w:val="6D4E72D8"/>
    <w:rsid w:val="6D5A1796"/>
    <w:rsid w:val="6DE7D93F"/>
    <w:rsid w:val="6E6B2034"/>
    <w:rsid w:val="6F6F4A02"/>
    <w:rsid w:val="6FA3200D"/>
    <w:rsid w:val="6FB31E13"/>
    <w:rsid w:val="6FC4055E"/>
    <w:rsid w:val="6FC56F20"/>
    <w:rsid w:val="6FD63916"/>
    <w:rsid w:val="6FF6B32F"/>
    <w:rsid w:val="6FF98058"/>
    <w:rsid w:val="6FFB683F"/>
    <w:rsid w:val="6FFD30BB"/>
    <w:rsid w:val="705F3168"/>
    <w:rsid w:val="70E04BEA"/>
    <w:rsid w:val="71336387"/>
    <w:rsid w:val="717F52C5"/>
    <w:rsid w:val="71F67E11"/>
    <w:rsid w:val="72573DDE"/>
    <w:rsid w:val="72C61CAC"/>
    <w:rsid w:val="73195571"/>
    <w:rsid w:val="7356012C"/>
    <w:rsid w:val="736F3422"/>
    <w:rsid w:val="737A6199"/>
    <w:rsid w:val="73AA1DF8"/>
    <w:rsid w:val="73AA316F"/>
    <w:rsid w:val="74137B31"/>
    <w:rsid w:val="74A80876"/>
    <w:rsid w:val="74DFE74F"/>
    <w:rsid w:val="75093FEA"/>
    <w:rsid w:val="751B4E76"/>
    <w:rsid w:val="75611739"/>
    <w:rsid w:val="76482355"/>
    <w:rsid w:val="765D5348"/>
    <w:rsid w:val="766F3C4A"/>
    <w:rsid w:val="767F7BF6"/>
    <w:rsid w:val="768E3598"/>
    <w:rsid w:val="76E55CC0"/>
    <w:rsid w:val="76F21688"/>
    <w:rsid w:val="76FB0A0E"/>
    <w:rsid w:val="776826E8"/>
    <w:rsid w:val="77F09EEA"/>
    <w:rsid w:val="77F5227F"/>
    <w:rsid w:val="782735BB"/>
    <w:rsid w:val="7846123F"/>
    <w:rsid w:val="78F0344F"/>
    <w:rsid w:val="7906493E"/>
    <w:rsid w:val="79B40F0A"/>
    <w:rsid w:val="79FB9B78"/>
    <w:rsid w:val="7A124E54"/>
    <w:rsid w:val="7A2F41E8"/>
    <w:rsid w:val="7A5BB9BE"/>
    <w:rsid w:val="7A5D1418"/>
    <w:rsid w:val="7A68455E"/>
    <w:rsid w:val="7AA31AD2"/>
    <w:rsid w:val="7ABF55AA"/>
    <w:rsid w:val="7B39307B"/>
    <w:rsid w:val="7BE7F39B"/>
    <w:rsid w:val="7C030925"/>
    <w:rsid w:val="7C3B575E"/>
    <w:rsid w:val="7C7C581E"/>
    <w:rsid w:val="7C7E00F6"/>
    <w:rsid w:val="7C8753FE"/>
    <w:rsid w:val="7CBC72C4"/>
    <w:rsid w:val="7D5E3699"/>
    <w:rsid w:val="7D752734"/>
    <w:rsid w:val="7D7B49FF"/>
    <w:rsid w:val="7D8B0F2F"/>
    <w:rsid w:val="7DC47D01"/>
    <w:rsid w:val="7DD345AE"/>
    <w:rsid w:val="7DF6B58A"/>
    <w:rsid w:val="7DFFA84A"/>
    <w:rsid w:val="7E12792F"/>
    <w:rsid w:val="7E1B7C76"/>
    <w:rsid w:val="7E3ECAD0"/>
    <w:rsid w:val="7E462F1C"/>
    <w:rsid w:val="7E6F46D7"/>
    <w:rsid w:val="7E75254D"/>
    <w:rsid w:val="7E7D7620"/>
    <w:rsid w:val="7EEFB8EE"/>
    <w:rsid w:val="7F134839"/>
    <w:rsid w:val="7F76F590"/>
    <w:rsid w:val="7FE731F4"/>
    <w:rsid w:val="7FE9B1B1"/>
    <w:rsid w:val="7FED30C6"/>
    <w:rsid w:val="7FF585A3"/>
    <w:rsid w:val="7FFE5234"/>
    <w:rsid w:val="7FFFD9E3"/>
    <w:rsid w:val="9A2DAE0A"/>
    <w:rsid w:val="9F76A74C"/>
    <w:rsid w:val="9FFFF344"/>
    <w:rsid w:val="AAEF942D"/>
    <w:rsid w:val="ACFF2AEC"/>
    <w:rsid w:val="AFFE3CF8"/>
    <w:rsid w:val="B7D78C58"/>
    <w:rsid w:val="B7E7F167"/>
    <w:rsid w:val="B7EF0231"/>
    <w:rsid w:val="BCB96ED4"/>
    <w:rsid w:val="BEFC2B84"/>
    <w:rsid w:val="BFDC095D"/>
    <w:rsid w:val="CBFF2665"/>
    <w:rsid w:val="CEDF8291"/>
    <w:rsid w:val="CFE67E25"/>
    <w:rsid w:val="DAF19083"/>
    <w:rsid w:val="DD9EECE8"/>
    <w:rsid w:val="DFFFADF6"/>
    <w:rsid w:val="DFFFDA5C"/>
    <w:rsid w:val="E7FFDCAC"/>
    <w:rsid w:val="EBBF0DF5"/>
    <w:rsid w:val="EFEFF003"/>
    <w:rsid w:val="F27C5728"/>
    <w:rsid w:val="F3377CC2"/>
    <w:rsid w:val="F6FCE6BD"/>
    <w:rsid w:val="F779AC45"/>
    <w:rsid w:val="F7CF646C"/>
    <w:rsid w:val="F7D1A723"/>
    <w:rsid w:val="F7FF34CA"/>
    <w:rsid w:val="F7FFD59C"/>
    <w:rsid w:val="F8C7A7D2"/>
    <w:rsid w:val="FA790521"/>
    <w:rsid w:val="FB9F91C4"/>
    <w:rsid w:val="FCFB6FC4"/>
    <w:rsid w:val="FDBF8C34"/>
    <w:rsid w:val="FDFE95EC"/>
    <w:rsid w:val="FEDF87F3"/>
    <w:rsid w:val="FF39C67F"/>
    <w:rsid w:val="FF4F49C4"/>
    <w:rsid w:val="FF57B83A"/>
    <w:rsid w:val="FF9FA026"/>
    <w:rsid w:val="FFBBA6A6"/>
    <w:rsid w:val="FFE0EFDE"/>
    <w:rsid w:val="FFEECFBC"/>
    <w:rsid w:val="FFFD5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numPr>
        <w:ilvl w:val="-1"/>
        <w:numId w:val="0"/>
      </w:numPr>
      <w:autoSpaceDE/>
      <w:autoSpaceDN/>
      <w:adjustRightInd/>
      <w:snapToGrid/>
      <w:spacing w:line="600" w:lineRule="exact"/>
      <w:ind w:left="0" w:leftChars="0" w:firstLine="64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link w:val="21"/>
    <w:qFormat/>
    <w:uiPriority w:val="9"/>
    <w:pPr>
      <w:numPr>
        <w:ilvl w:val="0"/>
        <w:numId w:val="1"/>
      </w:numPr>
      <w:autoSpaceDE w:val="0"/>
      <w:autoSpaceDN w:val="0"/>
      <w:adjustRightInd w:val="0"/>
      <w:snapToGrid w:val="0"/>
      <w:spacing w:line="600" w:lineRule="exact"/>
      <w:ind w:firstLine="640" w:firstLineChars="200"/>
      <w:outlineLvl w:val="0"/>
    </w:pPr>
    <w:rPr>
      <w:rFonts w:ascii="Times New Roman" w:hAnsi="Times New Roman" w:eastAsia="黑体"/>
      <w:sz w:val="32"/>
      <w:szCs w:val="32"/>
    </w:rPr>
  </w:style>
  <w:style w:type="paragraph" w:styleId="3">
    <w:name w:val="heading 2"/>
    <w:basedOn w:val="4"/>
    <w:next w:val="1"/>
    <w:unhideWhenUsed/>
    <w:qFormat/>
    <w:uiPriority w:val="9"/>
    <w:pPr>
      <w:autoSpaceDE w:val="0"/>
      <w:autoSpaceDN w:val="0"/>
      <w:adjustRightInd w:val="0"/>
      <w:snapToGrid w:val="0"/>
      <w:ind w:firstLine="643"/>
      <w:outlineLvl w:val="1"/>
    </w:pPr>
    <w:rPr>
      <w:rFonts w:ascii="Times New Roman" w:hAnsi="Times New Roman" w:eastAsia="楷体"/>
      <w:b/>
      <w:bCs/>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1"/>
    <w:pPr>
      <w:ind w:firstLine="420" w:firstLineChars="200"/>
    </w:pPr>
  </w:style>
  <w:style w:type="paragraph" w:styleId="5">
    <w:name w:val="annotation text"/>
    <w:basedOn w:val="1"/>
    <w:link w:val="22"/>
    <w:unhideWhenUsed/>
    <w:qFormat/>
    <w:uiPriority w:val="99"/>
    <w:pPr>
      <w:jc w:val="left"/>
    </w:pPr>
  </w:style>
  <w:style w:type="paragraph" w:styleId="6">
    <w:name w:val="Date"/>
    <w:basedOn w:val="1"/>
    <w:next w:val="1"/>
    <w:link w:val="23"/>
    <w:unhideWhenUsed/>
    <w:qFormat/>
    <w:uiPriority w:val="99"/>
    <w:pPr>
      <w:ind w:left="100" w:leftChars="2500"/>
    </w:pPr>
  </w:style>
  <w:style w:type="paragraph" w:styleId="7">
    <w:name w:val="Balloon Text"/>
    <w:basedOn w:val="1"/>
    <w:link w:val="24"/>
    <w:qFormat/>
    <w:uiPriority w:val="0"/>
    <w:rPr>
      <w:rFonts w:ascii="Times New Roman" w:hAnsi="Times New Roman" w:eastAsia="宋体"/>
      <w:sz w:val="18"/>
      <w:szCs w:val="18"/>
    </w:rPr>
  </w:style>
  <w:style w:type="paragraph" w:styleId="8">
    <w:name w:val="footer"/>
    <w:basedOn w:val="1"/>
    <w:link w:val="25"/>
    <w:unhideWhenUsed/>
    <w:qFormat/>
    <w:uiPriority w:val="0"/>
    <w:pPr>
      <w:tabs>
        <w:tab w:val="center" w:pos="4153"/>
        <w:tab w:val="right" w:pos="8306"/>
      </w:tabs>
      <w:snapToGrid w:val="0"/>
      <w:jc w:val="left"/>
    </w:pPr>
    <w:rPr>
      <w:sz w:val="18"/>
      <w:szCs w:val="18"/>
    </w:rPr>
  </w:style>
  <w:style w:type="paragraph" w:styleId="9">
    <w:name w:val="header"/>
    <w:basedOn w:val="1"/>
    <w:link w:val="26"/>
    <w:unhideWhenUsed/>
    <w:qFormat/>
    <w:uiPriority w:val="99"/>
    <w:pP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paragraph" w:styleId="12">
    <w:name w:val="Normal (Web)"/>
    <w:basedOn w:val="1"/>
    <w:unhideWhenUsed/>
    <w:qFormat/>
    <w:uiPriority w:val="0"/>
    <w:pPr>
      <w:spacing w:beforeAutospacing="1" w:afterAutospacing="1"/>
      <w:jc w:val="left"/>
    </w:pPr>
    <w:rPr>
      <w:rFonts w:ascii="Calibri" w:hAnsi="Calibri" w:eastAsia="宋体"/>
      <w:kern w:val="0"/>
      <w:sz w:val="24"/>
      <w:szCs w:val="24"/>
    </w:rPr>
  </w:style>
  <w:style w:type="paragraph" w:styleId="13">
    <w:name w:val="annotation subject"/>
    <w:basedOn w:val="5"/>
    <w:next w:val="5"/>
    <w:link w:val="27"/>
    <w:unhideWhenUsed/>
    <w:qFormat/>
    <w:uiPriority w:val="99"/>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page number"/>
    <w:qFormat/>
    <w:uiPriority w:val="0"/>
  </w:style>
  <w:style w:type="character" w:styleId="19">
    <w:name w:val="Hyperlink"/>
    <w:unhideWhenUsed/>
    <w:qFormat/>
    <w:uiPriority w:val="99"/>
    <w:rPr>
      <w:color w:val="0563C1"/>
      <w:u w:val="single"/>
    </w:rPr>
  </w:style>
  <w:style w:type="character" w:styleId="20">
    <w:name w:val="annotation reference"/>
    <w:unhideWhenUsed/>
    <w:qFormat/>
    <w:uiPriority w:val="99"/>
    <w:rPr>
      <w:sz w:val="21"/>
      <w:szCs w:val="21"/>
    </w:rPr>
  </w:style>
  <w:style w:type="character" w:customStyle="1" w:styleId="21">
    <w:name w:val="标题 1 字符"/>
    <w:link w:val="2"/>
    <w:qFormat/>
    <w:uiPriority w:val="9"/>
    <w:rPr>
      <w:rFonts w:ascii="Times New Roman" w:hAnsi="Times New Roman" w:eastAsia="黑体" w:cs="Times New Roman"/>
      <w:kern w:val="2"/>
      <w:sz w:val="32"/>
      <w:szCs w:val="32"/>
      <w:lang w:val="en-US" w:eastAsia="zh-CN" w:bidi="ar-SA"/>
    </w:rPr>
  </w:style>
  <w:style w:type="character" w:customStyle="1" w:styleId="22">
    <w:name w:val="批注文字 字符"/>
    <w:link w:val="5"/>
    <w:qFormat/>
    <w:uiPriority w:val="99"/>
  </w:style>
  <w:style w:type="character" w:customStyle="1" w:styleId="23">
    <w:name w:val="日期 字符"/>
    <w:link w:val="6"/>
    <w:semiHidden/>
    <w:qFormat/>
    <w:uiPriority w:val="99"/>
  </w:style>
  <w:style w:type="character" w:customStyle="1" w:styleId="24">
    <w:name w:val="批注框文本 字符"/>
    <w:link w:val="7"/>
    <w:qFormat/>
    <w:uiPriority w:val="0"/>
    <w:rPr>
      <w:rFonts w:ascii="Times New Roman" w:hAnsi="Times New Roman" w:eastAsia="宋体" w:cs="Times New Roman"/>
      <w:sz w:val="18"/>
      <w:szCs w:val="18"/>
    </w:rPr>
  </w:style>
  <w:style w:type="character" w:customStyle="1" w:styleId="25">
    <w:name w:val="页脚 字符"/>
    <w:link w:val="8"/>
    <w:qFormat/>
    <w:uiPriority w:val="0"/>
    <w:rPr>
      <w:sz w:val="18"/>
      <w:szCs w:val="18"/>
    </w:rPr>
  </w:style>
  <w:style w:type="character" w:customStyle="1" w:styleId="26">
    <w:name w:val="页眉 字符"/>
    <w:link w:val="9"/>
    <w:qFormat/>
    <w:uiPriority w:val="99"/>
    <w:rPr>
      <w:sz w:val="18"/>
      <w:szCs w:val="18"/>
    </w:rPr>
  </w:style>
  <w:style w:type="character" w:customStyle="1" w:styleId="27">
    <w:name w:val="批注主题 字符"/>
    <w:link w:val="13"/>
    <w:semiHidden/>
    <w:qFormat/>
    <w:uiPriority w:val="99"/>
    <w:rPr>
      <w:b/>
      <w:bCs/>
    </w:rPr>
  </w:style>
  <w:style w:type="paragraph" w:customStyle="1" w:styleId="28">
    <w:name w:val="普通(网站)1"/>
    <w:basedOn w:val="1"/>
    <w:qFormat/>
    <w:uiPriority w:val="0"/>
    <w:pPr>
      <w:widowControl/>
      <w:jc w:val="left"/>
    </w:pPr>
    <w:rPr>
      <w:rFonts w:ascii="宋体" w:hAnsi="宋体" w:eastAsia="宋体" w:cs="宋体"/>
      <w:kern w:val="0"/>
      <w:sz w:val="24"/>
      <w:szCs w:val="24"/>
    </w:rPr>
  </w:style>
  <w:style w:type="paragraph" w:customStyle="1" w:styleId="29">
    <w:name w:val="列出段落1"/>
    <w:basedOn w:val="1"/>
    <w:qFormat/>
    <w:uiPriority w:val="0"/>
    <w:pPr>
      <w:ind w:firstLine="420" w:firstLineChars="200"/>
    </w:pPr>
  </w:style>
  <w:style w:type="paragraph" w:customStyle="1" w:styleId="30">
    <w:name w:val="修订1"/>
    <w:semiHidden/>
    <w:qFormat/>
    <w:uiPriority w:val="99"/>
    <w:rPr>
      <w:rFonts w:ascii="等线" w:hAnsi="等线" w:eastAsia="等线" w:cs="Times New Roman"/>
      <w:kern w:val="2"/>
      <w:sz w:val="21"/>
      <w:szCs w:val="22"/>
      <w:lang w:val="en-US" w:eastAsia="zh-CN" w:bidi="ar-SA"/>
    </w:rPr>
  </w:style>
  <w:style w:type="character" w:customStyle="1" w:styleId="31">
    <w:name w:val="fontstyle01"/>
    <w:qFormat/>
    <w:uiPriority w:val="0"/>
    <w:rPr>
      <w:rFonts w:hint="eastAsia" w:ascii="仿宋" w:hAnsi="仿宋" w:eastAsia="仿宋"/>
      <w:color w:val="000000"/>
      <w:sz w:val="24"/>
      <w:szCs w:val="24"/>
    </w:rPr>
  </w:style>
  <w:style w:type="paragraph" w:customStyle="1" w:styleId="32">
    <w:name w:val="修订2"/>
    <w:unhideWhenUsed/>
    <w:qFormat/>
    <w:uiPriority w:val="99"/>
    <w:rPr>
      <w:rFonts w:ascii="等线" w:hAnsi="等线" w:eastAsia="等线" w:cs="Times New Roman"/>
      <w:kern w:val="2"/>
      <w:sz w:val="21"/>
      <w:szCs w:val="22"/>
      <w:lang w:val="en-US" w:eastAsia="zh-CN" w:bidi="ar-SA"/>
    </w:rPr>
  </w:style>
  <w:style w:type="paragraph" w:customStyle="1" w:styleId="33">
    <w:name w:val="WPSOffice手动目录 1"/>
    <w:qFormat/>
    <w:uiPriority w:val="0"/>
    <w:rPr>
      <w:rFonts w:ascii="等线" w:hAnsi="等线" w:eastAsia="等线" w:cs="Times New Roman"/>
      <w:lang w:val="en-US" w:eastAsia="zh-CN" w:bidi="ar-SA"/>
    </w:rPr>
  </w:style>
  <w:style w:type="paragraph" w:customStyle="1" w:styleId="34">
    <w:name w:val="WPSOffice手动目录 2"/>
    <w:qFormat/>
    <w:uiPriority w:val="0"/>
    <w:pPr>
      <w:ind w:left="200" w:leftChars="200"/>
    </w:pPr>
    <w:rPr>
      <w:rFonts w:ascii="等线" w:hAnsi="等线" w:eastAsia="等线" w:cs="Times New Roman"/>
      <w:lang w:val="en-US" w:eastAsia="zh-CN" w:bidi="ar-SA"/>
    </w:rPr>
  </w:style>
  <w:style w:type="paragraph" w:customStyle="1" w:styleId="35">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36">
    <w:name w:val="修订3"/>
    <w:unhideWhenUsed/>
    <w:qFormat/>
    <w:uiPriority w:val="99"/>
    <w:rPr>
      <w:rFonts w:ascii="等线" w:hAnsi="等线" w:eastAsia="等线" w:cs="Times New Roman"/>
      <w:kern w:val="2"/>
      <w:sz w:val="21"/>
      <w:szCs w:val="22"/>
      <w:lang w:val="en-US" w:eastAsia="zh-CN" w:bidi="ar-SA"/>
    </w:rPr>
  </w:style>
  <w:style w:type="character" w:styleId="37">
    <w:name w:val="Placeholder Text"/>
    <w:unhideWhenUsed/>
    <w:qFormat/>
    <w:uiPriority w:val="99"/>
    <w:rPr>
      <w:color w:val="666666"/>
    </w:rPr>
  </w:style>
  <w:style w:type="paragraph" w:customStyle="1" w:styleId="38">
    <w:name w:val="修订4"/>
    <w:unhideWhenUsed/>
    <w:qFormat/>
    <w:uiPriority w:val="99"/>
    <w:rPr>
      <w:rFonts w:ascii="等线" w:hAnsi="等线" w:eastAsia="等线" w:cs="Times New Roman"/>
      <w:kern w:val="2"/>
      <w:sz w:val="21"/>
      <w:szCs w:val="22"/>
      <w:lang w:val="en-US" w:eastAsia="zh-CN" w:bidi="ar-SA"/>
    </w:rPr>
  </w:style>
  <w:style w:type="character" w:customStyle="1" w:styleId="39">
    <w:name w:val="fontstyle21"/>
    <w:qFormat/>
    <w:uiPriority w:val="0"/>
    <w:rPr>
      <w:rFonts w:hint="default" w:ascii="Arial" w:hAnsi="Arial" w:cs="Arial"/>
      <w:color w:val="000000"/>
      <w:sz w:val="24"/>
      <w:szCs w:val="24"/>
    </w:rPr>
  </w:style>
  <w:style w:type="character" w:customStyle="1" w:styleId="40">
    <w:name w:val="fontstyle11"/>
    <w:qFormat/>
    <w:uiPriority w:val="0"/>
    <w:rPr>
      <w:rFonts w:hint="default" w:ascii="Arial" w:hAnsi="Arial" w:cs="Arial"/>
      <w:color w:val="000000"/>
      <w:sz w:val="24"/>
      <w:szCs w:val="24"/>
    </w:rPr>
  </w:style>
  <w:style w:type="paragraph" w:customStyle="1" w:styleId="41">
    <w:name w:val="Table Paragraph"/>
    <w:basedOn w:val="1"/>
    <w:qFormat/>
    <w:uiPriority w:val="1"/>
    <w:pPr>
      <w:autoSpaceDE w:val="0"/>
      <w:autoSpaceDN w:val="0"/>
      <w:jc w:val="left"/>
    </w:pPr>
    <w:rPr>
      <w:rFonts w:ascii="宋体" w:hAnsi="宋体" w:eastAsia="宋体" w:cs="宋体"/>
      <w:kern w:val="0"/>
      <w:sz w:val="22"/>
      <w:lang w:eastAsia="en-US"/>
    </w:rPr>
  </w:style>
  <w:style w:type="paragraph" w:customStyle="1" w:styleId="42">
    <w:name w:val="修订5"/>
    <w:unhideWhenUsed/>
    <w:qFormat/>
    <w:uiPriority w:val="99"/>
    <w:rPr>
      <w:rFonts w:ascii="等线" w:hAnsi="等线" w:eastAsia="等线" w:cs="Times New Roman"/>
      <w:kern w:val="2"/>
      <w:sz w:val="21"/>
      <w:szCs w:val="22"/>
      <w:lang w:val="en-US" w:eastAsia="zh-CN" w:bidi="ar-SA"/>
    </w:rPr>
  </w:style>
  <w:style w:type="paragraph" w:customStyle="1" w:styleId="43">
    <w:name w:val="Default"/>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paragraph" w:customStyle="1" w:styleId="44">
    <w:name w:val="_Style 42"/>
    <w:unhideWhenUsed/>
    <w:qFormat/>
    <w:uiPriority w:val="99"/>
    <w:rPr>
      <w:rFonts w:ascii="等线" w:hAnsi="等线" w:eastAsia="等线" w:cs="Times New Roman"/>
      <w:kern w:val="2"/>
      <w:sz w:val="21"/>
      <w:szCs w:val="22"/>
      <w:lang w:val="en-US" w:eastAsia="zh-CN" w:bidi="ar-SA"/>
    </w:rPr>
  </w:style>
  <w:style w:type="paragraph" w:customStyle="1" w:styleId="45">
    <w:name w:val="修订6"/>
    <w:hidden/>
    <w:unhideWhenUsed/>
    <w:qFormat/>
    <w:uiPriority w:val="99"/>
    <w:rPr>
      <w:rFonts w:ascii="等线" w:hAnsi="等线" w:eastAsia="等线" w:cs="Times New Roman"/>
      <w:kern w:val="2"/>
      <w:sz w:val="21"/>
      <w:szCs w:val="22"/>
      <w:lang w:val="en-US" w:eastAsia="zh-CN" w:bidi="ar-SA"/>
    </w:rPr>
  </w:style>
  <w:style w:type="paragraph" w:customStyle="1" w:styleId="46">
    <w:name w:val="Revision"/>
    <w:hidden/>
    <w:unhideWhenUsed/>
    <w:qFormat/>
    <w:uiPriority w:val="99"/>
    <w:rPr>
      <w:rFonts w:ascii="等线" w:hAnsi="等线" w:eastAsia="等线" w:cs="Times New Roman"/>
      <w:kern w:val="2"/>
      <w:sz w:val="21"/>
      <w:szCs w:val="22"/>
      <w:lang w:val="en-US" w:eastAsia="zh-CN" w:bidi="ar-SA"/>
    </w:rPr>
  </w:style>
  <w:style w:type="paragraph" w:customStyle="1" w:styleId="47">
    <w:name w:val="规则一级"/>
    <w:basedOn w:val="1"/>
    <w:qFormat/>
    <w:uiPriority w:val="0"/>
    <w:pPr>
      <w:numPr>
        <w:ilvl w:val="0"/>
        <w:numId w:val="2"/>
      </w:numPr>
      <w:autoSpaceDE w:val="0"/>
      <w:autoSpaceDN w:val="0"/>
      <w:adjustRightInd w:val="0"/>
      <w:snapToGrid w:val="0"/>
      <w:spacing w:line="600" w:lineRule="exact"/>
      <w:ind w:firstLine="624" w:firstLineChars="0"/>
      <w:outlineLvl w:val="0"/>
    </w:pPr>
    <w:rPr>
      <w:rFonts w:ascii="Times New Roman" w:hAnsi="Times New Roman"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4303</Words>
  <Characters>4680</Characters>
  <Lines>628</Lines>
  <Paragraphs>654</Paragraphs>
  <TotalTime>43</TotalTime>
  <ScaleCrop>false</ScaleCrop>
  <LinksUpToDate>false</LinksUpToDate>
  <CharactersWithSpaces>4814</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2024-07-17T21:57:00Z</dcterms:created>
  <dc:creator>吴瑕</dc:creator>
  <cp:lastModifiedBy>李政楠</cp:lastModifiedBy>
  <cp:lastPrinted>2025-09-01T08:19:00Z</cp:lastPrinted>
  <dcterms:modified xsi:type="dcterms:W3CDTF">2025-10-29T07:43:00Z</dcterms:modified>
  <dc:title>编号：CNCA-QMS-01:2025</dc:title>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0B1A0C5A086A49D9AF8F87BB854F831D_13</vt:lpwstr>
  </property>
  <property fmtid="{D5CDD505-2E9C-101B-9397-08002B2CF9AE}" pid="4" name="KSOTemplateDocerSaveRecord">
    <vt:lpwstr>eyJoZGlkIjoiZDljZWVmMTRjYzQzMmU0MmZhNGQ3Y2I4ODUwOWRlNWMiLCJ1c2VySWQiOiIxMzg3NzEyNDYzIn0=</vt:lpwstr>
  </property>
</Properties>
</file>