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eastAsia="仿宋_GB2312"/>
          <w:b/>
          <w:color w:val="000000"/>
          <w:sz w:val="30"/>
          <w:szCs w:val="30"/>
        </w:rPr>
      </w:pPr>
      <w:r>
        <w:rPr>
          <w:rFonts w:eastAsia="方正仿宋简体"/>
          <w:snapToGrid w:val="0"/>
          <w:color w:val="000000"/>
          <w:kern w:val="0"/>
          <w:sz w:val="32"/>
          <w:szCs w:val="32"/>
        </w:rPr>
        <w:t>附件</w:t>
      </w:r>
      <w:r>
        <w:rPr>
          <w:rFonts w:hint="eastAsia" w:eastAsia="方正仿宋简体"/>
          <w:snapToGrid w:val="0"/>
          <w:color w:val="000000"/>
          <w:kern w:val="0"/>
          <w:sz w:val="32"/>
          <w:szCs w:val="32"/>
        </w:rPr>
        <w:t>7</w:t>
      </w:r>
      <w:r>
        <w:rPr>
          <w:rFonts w:eastAsia="方正仿宋简体"/>
          <w:snapToGrid w:val="0"/>
          <w:color w:val="000000"/>
          <w:kern w:val="0"/>
          <w:sz w:val="32"/>
          <w:szCs w:val="32"/>
        </w:rPr>
        <w:t>：</w:t>
      </w:r>
    </w:p>
    <w:p>
      <w:pPr>
        <w:autoSpaceDE w:val="0"/>
        <w:autoSpaceDN w:val="0"/>
        <w:adjustRightInd w:val="0"/>
        <w:jc w:val="center"/>
        <w:rPr>
          <w:rFonts w:ascii="方正小标宋简体" w:eastAsia="方正小标宋简体"/>
          <w:sz w:val="32"/>
          <w:szCs w:val="32"/>
        </w:rPr>
      </w:pPr>
      <w:r>
        <w:rPr>
          <w:rFonts w:hint="eastAsia" w:ascii="方正小标宋简体" w:eastAsia="方正小标宋简体"/>
          <w:sz w:val="32"/>
          <w:szCs w:val="32"/>
        </w:rPr>
        <w:t>认证认可</w:t>
      </w:r>
      <w:r>
        <w:rPr>
          <w:rFonts w:ascii="方正小标宋简体" w:eastAsia="方正小标宋简体"/>
          <w:sz w:val="32"/>
          <w:szCs w:val="32"/>
        </w:rPr>
        <w:t>行业标准草案编制说明</w:t>
      </w:r>
    </w:p>
    <w:p>
      <w:pPr>
        <w:autoSpaceDE w:val="0"/>
        <w:autoSpaceDN w:val="0"/>
        <w:adjustRightInd w:val="0"/>
        <w:jc w:val="center"/>
        <w:rPr>
          <w:rFonts w:ascii="方正仿宋简体" w:eastAsia="方正仿宋简体"/>
          <w:color w:val="000000"/>
          <w:sz w:val="24"/>
          <w:szCs w:val="24"/>
        </w:rPr>
      </w:pPr>
      <w:r>
        <w:rPr>
          <w:rFonts w:hint="eastAsia" w:ascii="方正仿宋简体" w:eastAsia="方正仿宋简体"/>
          <w:color w:val="000000"/>
          <w:sz w:val="24"/>
          <w:szCs w:val="24"/>
        </w:rPr>
        <w:t>（参考格式）</w:t>
      </w:r>
    </w:p>
    <w:tbl>
      <w:tblPr>
        <w:tblpPr w:leftFromText="180" w:rightFromText="180" w:vertAnchor="text" w:horzAnchor="margin" w:tblpXSpec="center" w:tblpY="169"/>
        <w:tblW w:w="9384"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794"/>
        <w:gridCol w:w="1384"/>
        <w:gridCol w:w="1155"/>
        <w:gridCol w:w="1635"/>
        <w:gridCol w:w="1260"/>
        <w:gridCol w:w="2156"/>
      </w:tblGrid>
      <w:tr>
        <w:trPr>
          <w:cantSplit/>
          <w:trHeight w:val="168" w:hRule="atLeast"/>
        </w:trPr>
        <w:tc>
          <w:tcPr>
            <w:tcW w:w="9384" w:type="dxa"/>
            <w:gridSpan w:val="6"/>
            <w:tcBorders>
              <w:top w:val="nil"/>
              <w:left w:val="nil"/>
              <w:bottom w:val="nil"/>
              <w:right w:val="nil"/>
            </w:tcBorders>
            <w:vAlign w:val="center"/>
          </w:tcPr>
          <w:p>
            <w:pPr>
              <w:rPr>
                <w:rFonts w:ascii="宋体" w:hAnsi="宋体"/>
                <w:b/>
                <w:color w:val="000000"/>
                <w:szCs w:val="21"/>
              </w:rPr>
            </w:pPr>
            <w:r>
              <w:rPr>
                <w:rFonts w:hint="eastAsia" w:ascii="宋体" w:hAnsi="宋体"/>
                <w:b/>
                <w:color w:val="000000"/>
                <w:szCs w:val="21"/>
              </w:rPr>
              <w:t>1、基本信息</w:t>
            </w:r>
          </w:p>
        </w:tc>
      </w:tr>
      <w:tr>
        <w:trPr>
          <w:cantSplit/>
          <w:trHeight w:val="568" w:hRule="atLeast"/>
        </w:trPr>
        <w:tc>
          <w:tcPr>
            <w:tcW w:w="1794" w:type="dxa"/>
            <w:vMerge w:val="restart"/>
            <w:tcBorders>
              <w:top w:val="single" w:color="auto" w:sz="4" w:space="0"/>
              <w:left w:val="single" w:color="auto" w:sz="4" w:space="0"/>
              <w:bottom w:val="single" w:color="auto" w:sz="4" w:space="0"/>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1.1 标准草案名称</w:t>
            </w:r>
          </w:p>
        </w:tc>
        <w:tc>
          <w:tcPr>
            <w:tcW w:w="138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中文</w:t>
            </w:r>
          </w:p>
        </w:tc>
        <w:tc>
          <w:tcPr>
            <w:tcW w:w="6206"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风力发电机组寿命延长评估技术要求</w:t>
            </w:r>
          </w:p>
        </w:tc>
      </w:tr>
      <w:tr>
        <w:trPr>
          <w:cantSplit/>
          <w:trHeight w:val="548" w:hRule="atLeast"/>
        </w:trPr>
        <w:tc>
          <w:tcPr>
            <w:tcW w:w="1794" w:type="dxa"/>
            <w:vMerge w:val="continue"/>
            <w:tcBorders>
              <w:top w:val="single" w:color="auto" w:sz="4" w:space="0"/>
              <w:left w:val="single" w:color="auto" w:sz="4" w:space="0"/>
              <w:bottom w:val="single" w:color="auto" w:sz="4" w:space="0"/>
              <w:right w:val="single" w:color="auto" w:sz="4" w:space="0"/>
            </w:tcBorders>
            <w:vAlign w:val="center"/>
          </w:tcPr>
          <w:p>
            <w:pPr>
              <w:ind w:left="141" w:leftChars="67" w:right="176" w:rightChars="84"/>
              <w:jc w:val="center"/>
              <w:rPr>
                <w:rFonts w:ascii="宋体" w:hAnsi="宋体"/>
                <w:color w:val="000000"/>
                <w:szCs w:val="21"/>
              </w:rPr>
            </w:pPr>
          </w:p>
        </w:tc>
        <w:tc>
          <w:tcPr>
            <w:tcW w:w="1384" w:type="dxa"/>
            <w:tcBorders>
              <w:top w:val="single" w:color="auto" w:sz="4" w:space="0"/>
              <w:left w:val="single" w:color="auto" w:sz="4" w:space="0"/>
              <w:bottom w:val="single" w:color="auto" w:sz="6" w:space="0"/>
              <w:right w:val="single" w:color="auto" w:sz="4" w:space="0"/>
            </w:tcBorders>
            <w:vAlign w:val="center"/>
          </w:tcPr>
          <w:p>
            <w:pPr>
              <w:jc w:val="center"/>
              <w:rPr>
                <w:rFonts w:ascii="宋体" w:hAnsi="宋体"/>
                <w:color w:val="000000"/>
                <w:szCs w:val="21"/>
              </w:rPr>
            </w:pPr>
            <w:r>
              <w:rPr>
                <w:rFonts w:ascii="宋体" w:hAnsi="宋体"/>
                <w:color w:val="000000"/>
                <w:szCs w:val="21"/>
              </w:rPr>
              <w:t>英文</w:t>
            </w:r>
          </w:p>
        </w:tc>
        <w:tc>
          <w:tcPr>
            <w:tcW w:w="6206" w:type="dxa"/>
            <w:gridSpan w:val="4"/>
            <w:tcBorders>
              <w:top w:val="single" w:color="auto" w:sz="4" w:space="0"/>
              <w:left w:val="single" w:color="auto" w:sz="4" w:space="0"/>
              <w:bottom w:val="single" w:color="auto" w:sz="4" w:space="0"/>
            </w:tcBorders>
            <w:vAlign w:val="center"/>
          </w:tcPr>
          <w:p>
            <w:pPr>
              <w:rPr>
                <w:rFonts w:ascii="宋体" w:hAnsi="宋体"/>
                <w:color w:val="000000"/>
                <w:szCs w:val="21"/>
              </w:rPr>
            </w:pPr>
            <w:r>
              <w:rPr>
                <w:rFonts w:hint="eastAsia" w:ascii="宋体" w:hAnsi="宋体"/>
                <w:color w:val="000000"/>
                <w:szCs w:val="21"/>
              </w:rPr>
              <w:t>Assessment Requirements of Lifetime Extension of Wind Turbine</w:t>
            </w:r>
          </w:p>
        </w:tc>
      </w:tr>
      <w:tr>
        <w:trPr>
          <w:cantSplit/>
          <w:trHeight w:val="603" w:hRule="atLeast"/>
        </w:trPr>
        <w:tc>
          <w:tcPr>
            <w:tcW w:w="1794" w:type="dxa"/>
            <w:vMerge w:val="restart"/>
            <w:tcBorders>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1.2 与国际标准和国外先进标准一致</w:t>
            </w:r>
            <w:r>
              <w:rPr>
                <w:rFonts w:hint="eastAsia" w:ascii="宋体" w:hAnsi="宋体"/>
                <w:color w:val="000000"/>
                <w:szCs w:val="21"/>
              </w:rPr>
              <w:t>性</w:t>
            </w:r>
            <w:r>
              <w:rPr>
                <w:rFonts w:ascii="宋体" w:hAnsi="宋体"/>
                <w:color w:val="000000"/>
                <w:szCs w:val="21"/>
              </w:rPr>
              <w:t>程度情况</w:t>
            </w:r>
          </w:p>
        </w:tc>
        <w:tc>
          <w:tcPr>
            <w:tcW w:w="1384" w:type="dxa"/>
            <w:vMerge w:val="restart"/>
            <w:tcBorders>
              <w:left w:val="single" w:color="auto" w:sz="4" w:space="0"/>
              <w:right w:val="single" w:color="auto" w:sz="4" w:space="0"/>
            </w:tcBorders>
            <w:vAlign w:val="center"/>
          </w:tcPr>
          <w:p>
            <w:pPr>
              <w:rPr>
                <w:rFonts w:ascii="宋体" w:hAnsi="宋体"/>
                <w:color w:val="000000"/>
                <w:szCs w:val="21"/>
              </w:rPr>
            </w:pPr>
            <w:r>
              <w:rPr>
                <w:rFonts w:ascii="宋体" w:hAnsi="宋体"/>
                <w:color w:val="000000"/>
                <w:szCs w:val="21"/>
              </w:rPr>
              <w:t>□等同</w:t>
            </w:r>
            <w:r>
              <w:rPr>
                <w:rFonts w:hint="eastAsia" w:ascii="宋体" w:hAnsi="宋体"/>
                <w:color w:val="000000"/>
                <w:szCs w:val="21"/>
              </w:rPr>
              <w:t>采用</w:t>
            </w:r>
          </w:p>
          <w:p>
            <w:pPr>
              <w:rPr>
                <w:rFonts w:ascii="宋体" w:hAnsi="宋体"/>
                <w:color w:val="000000"/>
                <w:szCs w:val="21"/>
              </w:rPr>
            </w:pPr>
            <w:r>
              <w:rPr>
                <w:rFonts w:ascii="宋体" w:hAnsi="宋体"/>
                <w:color w:val="000000"/>
                <w:szCs w:val="21"/>
              </w:rPr>
              <w:t>□修改</w:t>
            </w:r>
            <w:r>
              <w:rPr>
                <w:rFonts w:hint="eastAsia" w:ascii="宋体" w:hAnsi="宋体"/>
                <w:color w:val="000000"/>
                <w:szCs w:val="21"/>
              </w:rPr>
              <w:t>采用</w:t>
            </w:r>
          </w:p>
          <w:p>
            <w:pPr>
              <w:rPr>
                <w:rFonts w:ascii="宋体" w:hAnsi="宋体"/>
                <w:color w:val="000000"/>
                <w:szCs w:val="21"/>
              </w:rPr>
            </w:pPr>
            <w:r>
              <w:rPr>
                <w:rFonts w:ascii="宋体" w:hAnsi="宋体"/>
                <w:color w:val="000000"/>
                <w:szCs w:val="21"/>
              </w:rPr>
              <w:t>□非等效</w:t>
            </w:r>
            <w:r>
              <w:rPr>
                <w:rFonts w:hint="eastAsia" w:ascii="宋体" w:hAnsi="宋体"/>
                <w:color w:val="000000"/>
                <w:szCs w:val="21"/>
              </w:rPr>
              <w:t>采用</w:t>
            </w:r>
          </w:p>
          <w:p>
            <w:pPr>
              <w:rPr>
                <w:rFonts w:ascii="宋体" w:hAnsi="宋体"/>
                <w:color w:val="000000"/>
                <w:szCs w:val="21"/>
              </w:rPr>
            </w:pPr>
            <w:r>
              <w:rPr>
                <w:rFonts w:ascii="宋体" w:hAnsi="宋体"/>
                <w:color w:val="000000"/>
                <w:szCs w:val="21"/>
              </w:rPr>
              <w:sym w:font="Wingdings 2" w:char="0052"/>
            </w:r>
            <w:r>
              <w:rPr>
                <w:rFonts w:hint="eastAsia" w:ascii="宋体" w:hAnsi="宋体"/>
                <w:color w:val="000000"/>
                <w:szCs w:val="21"/>
              </w:rPr>
              <w:t>未采用</w:t>
            </w:r>
          </w:p>
        </w:tc>
        <w:tc>
          <w:tcPr>
            <w:tcW w:w="1155" w:type="dxa"/>
            <w:tcBorders>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标准</w:t>
            </w:r>
            <w:r>
              <w:rPr>
                <w:rFonts w:hint="eastAsia" w:ascii="宋体" w:hAnsi="宋体"/>
                <w:color w:val="000000"/>
                <w:szCs w:val="21"/>
              </w:rPr>
              <w:t>编</w:t>
            </w:r>
            <w:r>
              <w:rPr>
                <w:rFonts w:ascii="宋体" w:hAnsi="宋体"/>
                <w:color w:val="000000"/>
                <w:szCs w:val="21"/>
              </w:rPr>
              <w:t>号</w:t>
            </w:r>
          </w:p>
        </w:tc>
        <w:tc>
          <w:tcPr>
            <w:tcW w:w="5051" w:type="dxa"/>
            <w:gridSpan w:val="3"/>
            <w:tcBorders>
              <w:left w:val="single" w:color="auto" w:sz="4" w:space="0"/>
              <w:bottom w:val="single" w:color="auto" w:sz="4" w:space="0"/>
            </w:tcBorders>
            <w:vAlign w:val="center"/>
          </w:tcPr>
          <w:p>
            <w:pPr>
              <w:rPr>
                <w:rFonts w:ascii="宋体" w:hAnsi="宋体"/>
                <w:color w:val="000000"/>
                <w:szCs w:val="21"/>
              </w:rPr>
            </w:pPr>
          </w:p>
        </w:tc>
      </w:tr>
      <w:tr>
        <w:trPr>
          <w:cantSplit/>
          <w:trHeight w:val="659" w:hRule="atLeast"/>
        </w:trPr>
        <w:tc>
          <w:tcPr>
            <w:tcW w:w="1794" w:type="dxa"/>
            <w:vMerge w:val="continue"/>
            <w:tcBorders>
              <w:right w:val="single" w:color="auto" w:sz="4" w:space="0"/>
            </w:tcBorders>
            <w:vAlign w:val="center"/>
          </w:tcPr>
          <w:p>
            <w:pPr>
              <w:ind w:left="141" w:leftChars="67" w:right="176" w:rightChars="84"/>
              <w:jc w:val="center"/>
              <w:rPr>
                <w:rFonts w:ascii="宋体" w:hAnsi="宋体"/>
                <w:color w:val="000000"/>
                <w:szCs w:val="21"/>
              </w:rPr>
            </w:pPr>
          </w:p>
        </w:tc>
        <w:tc>
          <w:tcPr>
            <w:tcW w:w="1384" w:type="dxa"/>
            <w:vMerge w:val="continue"/>
            <w:tcBorders>
              <w:left w:val="single" w:color="auto" w:sz="4" w:space="0"/>
              <w:right w:val="single" w:color="auto" w:sz="4" w:space="0"/>
            </w:tcBorders>
            <w:vAlign w:val="center"/>
          </w:tcPr>
          <w:p>
            <w:pPr>
              <w:jc w:val="center"/>
              <w:rPr>
                <w:rFonts w:ascii="宋体" w:hAnsi="宋体"/>
                <w:color w:val="000000"/>
                <w:szCs w:val="21"/>
              </w:rPr>
            </w:pPr>
          </w:p>
        </w:tc>
        <w:tc>
          <w:tcPr>
            <w:tcW w:w="11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英文名称</w:t>
            </w:r>
          </w:p>
        </w:tc>
        <w:tc>
          <w:tcPr>
            <w:tcW w:w="5051" w:type="dxa"/>
            <w:gridSpan w:val="3"/>
            <w:tcBorders>
              <w:top w:val="single" w:color="auto" w:sz="4" w:space="0"/>
              <w:left w:val="single" w:color="auto" w:sz="4" w:space="0"/>
              <w:bottom w:val="single" w:color="auto" w:sz="4" w:space="0"/>
            </w:tcBorders>
            <w:vAlign w:val="center"/>
          </w:tcPr>
          <w:p>
            <w:pPr>
              <w:rPr>
                <w:rFonts w:ascii="宋体" w:hAnsi="宋体"/>
                <w:color w:val="000000"/>
                <w:szCs w:val="21"/>
              </w:rPr>
            </w:pPr>
          </w:p>
        </w:tc>
      </w:tr>
      <w:tr>
        <w:trPr>
          <w:cantSplit/>
          <w:trHeight w:val="604" w:hRule="atLeast"/>
        </w:trPr>
        <w:tc>
          <w:tcPr>
            <w:tcW w:w="1794" w:type="dxa"/>
            <w:vMerge w:val="continue"/>
            <w:tcBorders>
              <w:right w:val="single" w:color="auto" w:sz="4" w:space="0"/>
            </w:tcBorders>
            <w:vAlign w:val="center"/>
          </w:tcPr>
          <w:p>
            <w:pPr>
              <w:ind w:left="141" w:leftChars="67" w:right="176" w:rightChars="84"/>
              <w:jc w:val="center"/>
              <w:rPr>
                <w:rFonts w:ascii="宋体" w:hAnsi="宋体"/>
                <w:color w:val="000000"/>
                <w:szCs w:val="21"/>
              </w:rPr>
            </w:pPr>
          </w:p>
        </w:tc>
        <w:tc>
          <w:tcPr>
            <w:tcW w:w="1384" w:type="dxa"/>
            <w:vMerge w:val="continue"/>
            <w:tcBorders>
              <w:left w:val="single" w:color="auto" w:sz="4" w:space="0"/>
              <w:bottom w:val="single" w:color="auto" w:sz="4" w:space="0"/>
              <w:right w:val="single" w:color="auto" w:sz="4" w:space="0"/>
            </w:tcBorders>
            <w:vAlign w:val="center"/>
          </w:tcPr>
          <w:p>
            <w:pPr>
              <w:jc w:val="center"/>
              <w:rPr>
                <w:rFonts w:ascii="宋体" w:hAnsi="宋体"/>
                <w:color w:val="000000"/>
                <w:szCs w:val="21"/>
              </w:rPr>
            </w:pPr>
          </w:p>
        </w:tc>
        <w:tc>
          <w:tcPr>
            <w:tcW w:w="11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中文名称</w:t>
            </w:r>
          </w:p>
        </w:tc>
        <w:tc>
          <w:tcPr>
            <w:tcW w:w="5051" w:type="dxa"/>
            <w:gridSpan w:val="3"/>
            <w:tcBorders>
              <w:top w:val="single" w:color="auto" w:sz="4" w:space="0"/>
              <w:left w:val="single" w:color="auto" w:sz="4" w:space="0"/>
              <w:bottom w:val="single" w:color="auto" w:sz="4" w:space="0"/>
            </w:tcBorders>
            <w:vAlign w:val="center"/>
          </w:tcPr>
          <w:p>
            <w:pPr>
              <w:rPr>
                <w:rFonts w:ascii="宋体" w:hAnsi="宋体"/>
                <w:color w:val="000000"/>
                <w:szCs w:val="21"/>
              </w:rPr>
            </w:pPr>
          </w:p>
        </w:tc>
      </w:tr>
      <w:tr>
        <w:trPr>
          <w:cantSplit/>
          <w:trHeight w:val="510" w:hRule="atLeast"/>
        </w:trPr>
        <w:tc>
          <w:tcPr>
            <w:tcW w:w="1794" w:type="dxa"/>
            <w:tcBorders>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1.3 任务来源</w:t>
            </w:r>
          </w:p>
        </w:tc>
        <w:tc>
          <w:tcPr>
            <w:tcW w:w="1384" w:type="dxa"/>
            <w:tcBorders>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批准立项的文件名称和文件号</w:t>
            </w:r>
          </w:p>
        </w:tc>
        <w:tc>
          <w:tcPr>
            <w:tcW w:w="2790" w:type="dxa"/>
            <w:gridSpan w:val="2"/>
            <w:tcBorders>
              <w:left w:val="single" w:color="auto" w:sz="4" w:space="0"/>
              <w:bottom w:val="single" w:color="auto" w:sz="4" w:space="0"/>
              <w:right w:val="single" w:color="auto" w:sz="4" w:space="0"/>
            </w:tcBorders>
            <w:vAlign w:val="center"/>
          </w:tcPr>
          <w:p>
            <w:pPr>
              <w:jc w:val="left"/>
              <w:rPr>
                <w:rFonts w:hint="default" w:ascii="宋体" w:hAnsi="宋体" w:eastAsia="宋体"/>
                <w:color w:val="000000"/>
                <w:szCs w:val="21"/>
                <w:lang w:val="en-US" w:eastAsia="zh-CN"/>
              </w:rPr>
            </w:pPr>
            <w:r>
              <w:rPr>
                <w:rFonts w:hint="eastAsia" w:ascii="宋体" w:hAnsi="宋体"/>
                <w:color w:val="000000"/>
                <w:szCs w:val="21"/>
              </w:rPr>
              <w:t>风力发电机组寿命延长评估技术要求</w:t>
            </w:r>
            <w:bookmarkStart w:id="0" w:name="_GoBack"/>
            <w:bookmarkEnd w:id="0"/>
          </w:p>
        </w:tc>
        <w:tc>
          <w:tcPr>
            <w:tcW w:w="1260" w:type="dxa"/>
            <w:tcBorders>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计划编号</w:t>
            </w:r>
          </w:p>
        </w:tc>
        <w:tc>
          <w:tcPr>
            <w:tcW w:w="2156" w:type="dxa"/>
            <w:tcBorders>
              <w:left w:val="single" w:color="auto" w:sz="4" w:space="0"/>
              <w:bottom w:val="single" w:color="auto" w:sz="4" w:space="0"/>
            </w:tcBorders>
            <w:vAlign w:val="center"/>
          </w:tcPr>
          <w:p>
            <w:pPr>
              <w:rPr>
                <w:rFonts w:ascii="宋体" w:hAnsi="宋体"/>
                <w:color w:val="000000"/>
                <w:szCs w:val="21"/>
              </w:rPr>
            </w:pPr>
            <w:r>
              <w:rPr>
                <w:rFonts w:hint="eastAsia" w:ascii="宋体" w:hAnsi="宋体"/>
                <w:color w:val="000000"/>
                <w:szCs w:val="21"/>
                <w:lang w:val="en-US" w:eastAsia="zh-CN"/>
              </w:rPr>
              <w:t>2017RB008</w:t>
            </w:r>
          </w:p>
        </w:tc>
      </w:tr>
      <w:tr>
        <w:trPr>
          <w:cantSplit/>
          <w:trHeight w:val="1029" w:hRule="atLeast"/>
        </w:trPr>
        <w:tc>
          <w:tcPr>
            <w:tcW w:w="1794" w:type="dxa"/>
            <w:vAlign w:val="center"/>
          </w:tcPr>
          <w:p>
            <w:pPr>
              <w:spacing w:line="360" w:lineRule="exact"/>
              <w:ind w:left="141" w:leftChars="67" w:right="176" w:rightChars="84"/>
              <w:rPr>
                <w:rFonts w:ascii="宋体" w:hAnsi="宋体"/>
                <w:color w:val="000000"/>
                <w:szCs w:val="21"/>
              </w:rPr>
            </w:pPr>
            <w:r>
              <w:rPr>
                <w:rFonts w:hint="eastAsia" w:ascii="宋体" w:hAnsi="宋体"/>
                <w:color w:val="000000"/>
                <w:szCs w:val="21"/>
              </w:rPr>
              <w:t>1.4制（修）订</w:t>
            </w:r>
          </w:p>
        </w:tc>
        <w:tc>
          <w:tcPr>
            <w:tcW w:w="7590" w:type="dxa"/>
            <w:gridSpan w:val="5"/>
            <w:vAlign w:val="center"/>
          </w:tcPr>
          <w:p>
            <w:pPr>
              <w:jc w:val="left"/>
              <w:rPr>
                <w:rFonts w:ascii="宋体" w:hAnsi="宋体"/>
                <w:snapToGrid w:val="0"/>
                <w:color w:val="000000"/>
                <w:kern w:val="0"/>
                <w:szCs w:val="21"/>
              </w:rPr>
            </w:pPr>
            <w:r>
              <w:rPr>
                <w:rFonts w:hint="eastAsia" w:ascii="宋体" w:hAnsi="宋体"/>
                <w:snapToGrid w:val="0"/>
                <w:color w:val="000000"/>
                <w:kern w:val="0"/>
                <w:szCs w:val="21"/>
              </w:rPr>
              <w:sym w:font="Wingdings 2" w:char="0052"/>
            </w:r>
            <w:r>
              <w:rPr>
                <w:rFonts w:hint="eastAsia" w:ascii="宋体" w:hAnsi="宋体"/>
                <w:snapToGrid w:val="0"/>
                <w:color w:val="000000"/>
                <w:kern w:val="0"/>
                <w:szCs w:val="21"/>
              </w:rPr>
              <w:t>制定     □修订</w:t>
            </w:r>
            <w:r>
              <w:rPr>
                <w:rFonts w:hint="eastAsia" w:ascii="宋体" w:hAnsi="宋体"/>
                <w:szCs w:val="21"/>
              </w:rPr>
              <w:t>（被修订标准名称及编号：                      ）</w:t>
            </w:r>
          </w:p>
        </w:tc>
      </w:tr>
      <w:tr>
        <w:trPr>
          <w:cantSplit/>
          <w:trHeight w:val="745" w:hRule="atLeast"/>
        </w:trPr>
        <w:tc>
          <w:tcPr>
            <w:tcW w:w="1794" w:type="dxa"/>
            <w:vAlign w:val="center"/>
          </w:tcPr>
          <w:p>
            <w:pPr>
              <w:ind w:left="141" w:leftChars="67" w:right="176" w:rightChars="84"/>
              <w:rPr>
                <w:rFonts w:ascii="宋体" w:hAnsi="宋体"/>
                <w:color w:val="000000"/>
                <w:szCs w:val="21"/>
              </w:rPr>
            </w:pPr>
            <w:r>
              <w:rPr>
                <w:rFonts w:ascii="宋体" w:hAnsi="宋体"/>
                <w:color w:val="000000"/>
                <w:szCs w:val="21"/>
              </w:rPr>
              <w:t>1.5 起止时间</w:t>
            </w:r>
          </w:p>
        </w:tc>
        <w:tc>
          <w:tcPr>
            <w:tcW w:w="7590" w:type="dxa"/>
            <w:gridSpan w:val="5"/>
            <w:vAlign w:val="center"/>
          </w:tcPr>
          <w:p>
            <w:pPr>
              <w:jc w:val="center"/>
              <w:rPr>
                <w:rFonts w:ascii="宋体" w:hAnsi="宋体"/>
                <w:color w:val="000000"/>
                <w:szCs w:val="21"/>
              </w:rPr>
            </w:pPr>
            <w:r>
              <w:rPr>
                <w:rFonts w:hint="eastAsia" w:ascii="宋体" w:hAnsi="宋体"/>
                <w:color w:val="000000"/>
                <w:szCs w:val="21"/>
                <w:lang w:val="en-US" w:eastAsia="zh-CN"/>
              </w:rPr>
              <w:t>2017</w:t>
            </w:r>
            <w:r>
              <w:rPr>
                <w:rFonts w:ascii="宋体" w:hAnsi="宋体"/>
                <w:color w:val="000000"/>
                <w:szCs w:val="21"/>
              </w:rPr>
              <w:t xml:space="preserve">年 </w:t>
            </w:r>
            <w:r>
              <w:rPr>
                <w:rFonts w:hint="eastAsia" w:ascii="宋体" w:hAnsi="宋体"/>
                <w:color w:val="000000"/>
                <w:szCs w:val="21"/>
                <w:lang w:val="en-US" w:eastAsia="zh-CN"/>
              </w:rPr>
              <w:t>07</w:t>
            </w:r>
            <w:r>
              <w:rPr>
                <w:rFonts w:ascii="宋体" w:hAnsi="宋体"/>
                <w:color w:val="000000"/>
                <w:szCs w:val="21"/>
              </w:rPr>
              <w:t xml:space="preserve">月--- </w:t>
            </w:r>
            <w:r>
              <w:rPr>
                <w:rFonts w:hint="eastAsia" w:ascii="宋体" w:hAnsi="宋体"/>
                <w:color w:val="000000"/>
                <w:szCs w:val="21"/>
                <w:lang w:val="en-US" w:eastAsia="zh-CN"/>
              </w:rPr>
              <w:t>2019</w:t>
            </w:r>
            <w:r>
              <w:rPr>
                <w:rFonts w:ascii="宋体" w:hAnsi="宋体"/>
                <w:color w:val="000000"/>
                <w:szCs w:val="21"/>
              </w:rPr>
              <w:t xml:space="preserve">年 </w:t>
            </w:r>
            <w:r>
              <w:rPr>
                <w:rFonts w:hint="eastAsia" w:ascii="宋体" w:hAnsi="宋体"/>
                <w:color w:val="000000"/>
                <w:szCs w:val="21"/>
                <w:lang w:val="en-US" w:eastAsia="zh-CN"/>
              </w:rPr>
              <w:t>06</w:t>
            </w:r>
            <w:r>
              <w:rPr>
                <w:rFonts w:ascii="宋体" w:hAnsi="宋体"/>
                <w:color w:val="000000"/>
                <w:szCs w:val="21"/>
              </w:rPr>
              <w:t xml:space="preserve"> 月</w:t>
            </w:r>
          </w:p>
        </w:tc>
      </w:tr>
      <w:tr>
        <w:trPr>
          <w:cantSplit/>
          <w:trHeight w:val="686" w:hRule="atLeast"/>
        </w:trPr>
        <w:tc>
          <w:tcPr>
            <w:tcW w:w="1794" w:type="dxa"/>
            <w:vAlign w:val="center"/>
          </w:tcPr>
          <w:p>
            <w:pPr>
              <w:ind w:left="141" w:leftChars="67" w:right="176" w:rightChars="84"/>
              <w:rPr>
                <w:rFonts w:ascii="宋体" w:hAnsi="宋体"/>
                <w:color w:val="000000"/>
                <w:szCs w:val="21"/>
              </w:rPr>
            </w:pPr>
            <w:r>
              <w:rPr>
                <w:rFonts w:ascii="宋体" w:hAnsi="宋体"/>
                <w:color w:val="000000"/>
                <w:szCs w:val="21"/>
              </w:rPr>
              <w:t xml:space="preserve">1.6 </w:t>
            </w:r>
            <w:r>
              <w:rPr>
                <w:rFonts w:hint="eastAsia" w:ascii="宋体" w:hAnsi="宋体"/>
                <w:color w:val="000000"/>
                <w:szCs w:val="21"/>
              </w:rPr>
              <w:t>标准起草</w:t>
            </w:r>
            <w:r>
              <w:rPr>
                <w:rFonts w:ascii="宋体" w:hAnsi="宋体"/>
                <w:color w:val="000000"/>
                <w:szCs w:val="21"/>
              </w:rPr>
              <w:t>单位</w:t>
            </w:r>
          </w:p>
        </w:tc>
        <w:tc>
          <w:tcPr>
            <w:tcW w:w="7590" w:type="dxa"/>
            <w:gridSpan w:val="5"/>
            <w:vAlign w:val="center"/>
          </w:tcPr>
          <w:p>
            <w:pPr>
              <w:rPr>
                <w:rFonts w:hint="default" w:ascii="宋体" w:hAnsi="宋体" w:eastAsia="宋体"/>
                <w:color w:val="000000"/>
                <w:szCs w:val="21"/>
                <w:lang w:val="en-US" w:eastAsia="zh-CN"/>
              </w:rPr>
            </w:pPr>
            <w:r>
              <w:rPr>
                <w:rFonts w:hint="eastAsia" w:ascii="宋体" w:hAnsi="宋体"/>
                <w:color w:val="000000"/>
                <w:szCs w:val="21"/>
                <w:lang w:val="en-US" w:eastAsia="zh-CN"/>
              </w:rPr>
              <w:t>中国质量认证中心</w:t>
            </w:r>
          </w:p>
        </w:tc>
      </w:tr>
      <w:tr>
        <w:trPr>
          <w:cantSplit/>
          <w:trHeight w:val="837" w:hRule="atLeast"/>
        </w:trPr>
        <w:tc>
          <w:tcPr>
            <w:tcW w:w="1794" w:type="dxa"/>
            <w:vAlign w:val="center"/>
          </w:tcPr>
          <w:p>
            <w:pPr>
              <w:ind w:left="141" w:leftChars="67" w:right="176" w:rightChars="84"/>
              <w:rPr>
                <w:rFonts w:ascii="宋体" w:hAnsi="宋体"/>
                <w:color w:val="000000"/>
                <w:szCs w:val="21"/>
              </w:rPr>
            </w:pPr>
            <w:r>
              <w:rPr>
                <w:rFonts w:ascii="宋体" w:hAnsi="宋体"/>
                <w:color w:val="000000"/>
                <w:szCs w:val="21"/>
              </w:rPr>
              <w:t>1.7 起草</w:t>
            </w:r>
            <w:r>
              <w:rPr>
                <w:rFonts w:hint="eastAsia" w:ascii="宋体" w:hAnsi="宋体"/>
                <w:color w:val="000000"/>
                <w:szCs w:val="21"/>
              </w:rPr>
              <w:t>组成员</w:t>
            </w:r>
          </w:p>
        </w:tc>
        <w:tc>
          <w:tcPr>
            <w:tcW w:w="7590" w:type="dxa"/>
            <w:gridSpan w:val="5"/>
            <w:vAlign w:val="center"/>
          </w:tcPr>
          <w:p>
            <w:pPr>
              <w:rPr>
                <w:rFonts w:hint="default" w:ascii="宋体" w:hAnsi="宋体" w:eastAsia="宋体"/>
                <w:color w:val="000000"/>
                <w:szCs w:val="21"/>
                <w:lang w:val="en-US" w:eastAsia="zh-CN"/>
              </w:rPr>
            </w:pPr>
            <w:r>
              <w:rPr>
                <w:rFonts w:hint="eastAsia" w:ascii="宋体" w:hAnsi="宋体"/>
                <w:color w:val="000000"/>
                <w:szCs w:val="21"/>
                <w:lang w:val="en-US" w:eastAsia="zh-CN"/>
              </w:rPr>
              <w:t>李建桥、梁科、李常、王伟峰、袁瑛、肖学成、徐秉俊、康巍、王宁</w:t>
            </w:r>
          </w:p>
        </w:tc>
      </w:tr>
      <w:tr>
        <w:trPr>
          <w:cantSplit/>
          <w:trHeight w:val="1264" w:hRule="exact"/>
        </w:trPr>
        <w:tc>
          <w:tcPr>
            <w:tcW w:w="1794" w:type="dxa"/>
            <w:tcBorders>
              <w:bottom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1.</w:t>
            </w:r>
            <w:r>
              <w:rPr>
                <w:rFonts w:hint="eastAsia" w:ascii="宋体" w:hAnsi="宋体"/>
                <w:color w:val="000000"/>
                <w:szCs w:val="21"/>
              </w:rPr>
              <w:t>8标准体系表内编号</w:t>
            </w:r>
          </w:p>
        </w:tc>
        <w:tc>
          <w:tcPr>
            <w:tcW w:w="7590" w:type="dxa"/>
            <w:gridSpan w:val="5"/>
            <w:tcBorders>
              <w:bottom w:val="single" w:color="auto" w:sz="4" w:space="0"/>
            </w:tcBorders>
            <w:vAlign w:val="center"/>
          </w:tcPr>
          <w:p>
            <w:pPr>
              <w:rPr>
                <w:rFonts w:ascii="宋体" w:hAnsi="宋体"/>
                <w:color w:val="000000"/>
                <w:szCs w:val="21"/>
              </w:rPr>
            </w:pPr>
          </w:p>
        </w:tc>
      </w:tr>
      <w:tr>
        <w:trPr>
          <w:cantSplit/>
          <w:trHeight w:val="2424" w:hRule="exact"/>
        </w:trPr>
        <w:tc>
          <w:tcPr>
            <w:tcW w:w="1794" w:type="dxa"/>
            <w:tcBorders>
              <w:top w:val="single" w:color="auto" w:sz="4" w:space="0"/>
              <w:left w:val="single" w:color="auto" w:sz="4" w:space="0"/>
              <w:bottom w:val="single" w:color="auto" w:sz="4" w:space="0"/>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1.</w:t>
            </w:r>
            <w:r>
              <w:rPr>
                <w:rFonts w:hint="eastAsia" w:ascii="宋体" w:hAnsi="宋体"/>
                <w:color w:val="000000"/>
                <w:szCs w:val="21"/>
              </w:rPr>
              <w:t>9</w:t>
            </w:r>
            <w:r>
              <w:rPr>
                <w:rFonts w:ascii="宋体" w:hAnsi="宋体"/>
                <w:color w:val="000000"/>
                <w:szCs w:val="21"/>
              </w:rPr>
              <w:t>调整情况</w:t>
            </w:r>
          </w:p>
        </w:tc>
        <w:tc>
          <w:tcPr>
            <w:tcW w:w="7590" w:type="dxa"/>
            <w:gridSpan w:val="5"/>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p>
        </w:tc>
      </w:tr>
    </w:tbl>
    <w:p>
      <w:pPr>
        <w:rPr>
          <w:rFonts w:eastAsia="仿宋_GB2312"/>
          <w:b/>
          <w:color w:val="000000"/>
          <w:kern w:val="0"/>
          <w:sz w:val="32"/>
        </w:rPr>
      </w:pPr>
    </w:p>
    <w:tbl>
      <w:tblPr>
        <w:tblpPr w:leftFromText="180" w:rightFromText="180" w:vertAnchor="text" w:horzAnchor="margin" w:tblpXSpec="center" w:tblpY="169"/>
        <w:tblW w:w="9384"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794"/>
        <w:gridCol w:w="7590"/>
      </w:tblGrid>
      <w:tr>
        <w:trPr>
          <w:cantSplit/>
          <w:trHeight w:val="485" w:hRule="exact"/>
        </w:trPr>
        <w:tc>
          <w:tcPr>
            <w:tcW w:w="9384" w:type="dxa"/>
            <w:gridSpan w:val="2"/>
            <w:tcBorders>
              <w:top w:val="nil"/>
              <w:left w:val="nil"/>
              <w:bottom w:val="nil"/>
              <w:right w:val="nil"/>
            </w:tcBorders>
            <w:vAlign w:val="center"/>
          </w:tcPr>
          <w:p>
            <w:pPr>
              <w:rPr>
                <w:rFonts w:ascii="宋体" w:hAnsi="宋体"/>
                <w:b/>
                <w:color w:val="000000"/>
                <w:szCs w:val="21"/>
              </w:rPr>
            </w:pPr>
            <w:r>
              <w:rPr>
                <w:rFonts w:hint="eastAsia" w:ascii="宋体" w:hAnsi="宋体"/>
                <w:b/>
                <w:color w:val="000000"/>
                <w:szCs w:val="21"/>
              </w:rPr>
              <w:t>2、背景情况</w:t>
            </w:r>
          </w:p>
        </w:tc>
      </w:tr>
      <w:tr>
        <w:trPr>
          <w:cantSplit/>
          <w:trHeight w:val="5733" w:hRule="atLeast"/>
        </w:trPr>
        <w:tc>
          <w:tcPr>
            <w:tcW w:w="1794" w:type="dxa"/>
            <w:tcBorders>
              <w:top w:val="single" w:color="auto" w:sz="4" w:space="0"/>
              <w:left w:val="single" w:color="auto" w:sz="4" w:space="0"/>
              <w:right w:val="single" w:color="auto" w:sz="4" w:space="0"/>
            </w:tcBorders>
            <w:vAlign w:val="center"/>
          </w:tcPr>
          <w:p>
            <w:pPr>
              <w:ind w:left="141" w:leftChars="67" w:right="36" w:rightChars="17"/>
              <w:rPr>
                <w:rFonts w:ascii="宋体" w:hAnsi="宋体"/>
                <w:color w:val="000000"/>
                <w:szCs w:val="21"/>
              </w:rPr>
            </w:pPr>
            <w:r>
              <w:rPr>
                <w:rFonts w:ascii="宋体" w:hAnsi="宋体"/>
                <w:color w:val="000000"/>
                <w:szCs w:val="21"/>
              </w:rPr>
              <w:t>2.1 目的、意义</w:t>
            </w:r>
          </w:p>
          <w:p>
            <w:pPr>
              <w:ind w:left="141" w:leftChars="67" w:right="36" w:rightChars="17"/>
              <w:rPr>
                <w:rFonts w:ascii="宋体" w:hAnsi="宋体"/>
                <w:color w:val="000000"/>
                <w:szCs w:val="21"/>
              </w:rPr>
            </w:pPr>
            <w:r>
              <w:rPr>
                <w:rFonts w:hint="eastAsia" w:ascii="宋体" w:hAnsi="宋体"/>
                <w:color w:val="000000"/>
                <w:szCs w:val="21"/>
              </w:rPr>
              <w:t>（工作开展背景及要求）</w:t>
            </w:r>
          </w:p>
        </w:tc>
        <w:tc>
          <w:tcPr>
            <w:tcW w:w="7590" w:type="dxa"/>
            <w:tcBorders>
              <w:top w:val="single" w:color="auto" w:sz="4" w:space="0"/>
              <w:left w:val="single" w:color="auto" w:sz="4" w:space="0"/>
              <w:right w:val="single" w:color="auto" w:sz="4" w:space="0"/>
            </w:tcBorders>
            <w:vAlign w:val="center"/>
          </w:tcPr>
          <w:p>
            <w:pPr>
              <w:widowControl/>
              <w:wordWrap/>
              <w:adjustRightInd/>
              <w:snapToGrid/>
              <w:spacing w:line="360" w:lineRule="auto"/>
              <w:ind w:right="0" w:firstLine="480"/>
              <w:jc w:val="left"/>
              <w:textAlignment w:val="auto"/>
              <w:outlineLvl w:val="9"/>
              <w:rPr>
                <w:rFonts w:hint="eastAsia" w:ascii="宋体" w:hAnsi="宋体" w:cs="宋体"/>
                <w:bCs/>
                <w:sz w:val="21"/>
                <w:szCs w:val="21"/>
                <w:lang w:val="en-US" w:eastAsia="zh-CN"/>
              </w:rPr>
            </w:pPr>
          </w:p>
          <w:p>
            <w:pPr>
              <w:widowControl/>
              <w:wordWrap/>
              <w:adjustRightInd/>
              <w:snapToGrid/>
              <w:spacing w:line="360" w:lineRule="auto"/>
              <w:ind w:right="0" w:firstLine="480"/>
              <w:jc w:val="left"/>
              <w:textAlignment w:val="auto"/>
              <w:outlineLvl w:val="9"/>
              <w:rPr>
                <w:rFonts w:hint="eastAsia" w:ascii="宋体" w:hAnsi="宋体" w:cs="宋体"/>
                <w:bCs/>
                <w:sz w:val="21"/>
                <w:szCs w:val="21"/>
                <w:lang w:val="en-US" w:eastAsia="zh-CN"/>
              </w:rPr>
            </w:pPr>
            <w:r>
              <w:rPr>
                <w:rFonts w:hint="eastAsia" w:ascii="宋体" w:hAnsi="宋体" w:cs="宋体"/>
                <w:bCs/>
                <w:sz w:val="21"/>
                <w:szCs w:val="21"/>
                <w:lang w:val="en-US" w:eastAsia="zh-CN"/>
              </w:rPr>
              <w:t>我国风电行业发展迅猛，早在“九五”和“十五”期间，风电行业实施了“乘风计划”，对风电技术进行了引进和消化吸收，我国风电企业掌握了定桨距机组总体设计技术，实现了规模化生产。这期间的新增装机容量超过百万千瓦</w:t>
            </w:r>
            <w:r>
              <w:rPr>
                <w:rFonts w:hint="eastAsia" w:ascii="宋体" w:hAnsi="宋体" w:eastAsia="宋体" w:cs="宋体"/>
                <w:bCs/>
                <w:sz w:val="21"/>
                <w:szCs w:val="21"/>
                <w:lang w:val="en-US" w:eastAsia="zh-CN"/>
              </w:rPr>
              <w:t>，</w:t>
            </w:r>
            <w:r>
              <w:rPr>
                <w:rFonts w:hint="eastAsia" w:ascii="宋体" w:hAnsi="宋体" w:cs="宋体"/>
                <w:bCs/>
                <w:sz w:val="21"/>
                <w:szCs w:val="21"/>
                <w:lang w:val="en-US" w:eastAsia="zh-CN"/>
              </w:rPr>
              <w:t>这些机组已经达到或陆续将达到设计寿命。通过现场检测和仿真分析等技术手段，评估机组的剩余疲劳寿命，挖掘机组的寿命潜力，可以极大满足风电行业对机组延寿评估的需求。</w:t>
            </w:r>
          </w:p>
          <w:p>
            <w:pPr>
              <w:widowControl/>
              <w:wordWrap/>
              <w:adjustRightInd/>
              <w:snapToGrid/>
              <w:spacing w:line="360" w:lineRule="auto"/>
              <w:ind w:right="0" w:firstLine="480"/>
              <w:jc w:val="left"/>
              <w:textAlignment w:val="auto"/>
              <w:outlineLvl w:val="9"/>
              <w:rPr>
                <w:rFonts w:hint="default" w:ascii="宋体" w:hAnsi="宋体" w:cs="宋体"/>
                <w:bCs/>
                <w:sz w:val="21"/>
                <w:szCs w:val="21"/>
                <w:lang w:val="en-US" w:eastAsia="zh-CN"/>
              </w:rPr>
            </w:pPr>
            <w:r>
              <w:rPr>
                <w:rFonts w:hint="eastAsia" w:ascii="宋体" w:hAnsi="宋体" w:cs="宋体"/>
                <w:bCs/>
                <w:sz w:val="21"/>
                <w:szCs w:val="21"/>
                <w:lang w:val="en-US" w:eastAsia="zh-CN"/>
              </w:rPr>
              <w:t>通常，陆上风电机组的设计寿命为20年，海上风电机组的设计寿命为25年。在其服役的生命周期中，由于各种环境、载荷、材料等因素的影响，机组各个部件都不可避免地产生累积损伤、抗力衰减和功能退化。一方面，部分机组的关键部件疲劳损伤限值超出设计限值。另一方面，现场很多机组在年平均风速、湍流度、风切变、空气密度等方面，实际值低于理论值。这些机组在寿命期内，疲劳损伤值低于机组的设计值。可以通过专业的延寿技术评估，使机组的价值得到充分的挖掘。</w:t>
            </w:r>
          </w:p>
          <w:p>
            <w:pPr>
              <w:widowControl/>
              <w:wordWrap/>
              <w:adjustRightInd/>
              <w:snapToGrid/>
              <w:spacing w:line="360" w:lineRule="auto"/>
              <w:ind w:right="0" w:firstLine="480"/>
              <w:jc w:val="left"/>
              <w:textAlignment w:val="auto"/>
              <w:outlineLvl w:val="9"/>
              <w:rPr>
                <w:rFonts w:hint="default" w:ascii="宋体" w:hAnsi="宋体" w:cs="宋体"/>
                <w:bCs/>
                <w:sz w:val="21"/>
                <w:szCs w:val="21"/>
                <w:lang w:val="en-US" w:eastAsia="zh-CN"/>
              </w:rPr>
            </w:pPr>
            <w:r>
              <w:rPr>
                <w:rFonts w:hint="eastAsia" w:ascii="宋体" w:hAnsi="宋体" w:eastAsia="宋体" w:cs="宋体"/>
                <w:bCs/>
                <w:sz w:val="21"/>
                <w:szCs w:val="21"/>
                <w:lang w:val="en-US" w:eastAsia="zh-CN"/>
              </w:rPr>
              <w:t>我国已发布风力发电机组整机设计标准：GB/T 18451.1-2012《风力发电机组 设计要求》，GB/T 31517-2015《海上风力发电机组 设计要求》</w:t>
            </w:r>
            <w:r>
              <w:rPr>
                <w:rFonts w:hint="eastAsia" w:ascii="宋体" w:hAnsi="宋体" w:cs="宋体"/>
                <w:bCs/>
                <w:sz w:val="21"/>
                <w:szCs w:val="21"/>
                <w:lang w:val="en-US" w:eastAsia="zh-CN"/>
              </w:rPr>
              <w:t>，以及相关的国际设计标准，都没有对风力发电机组寿命延长评估技术的详细规定，风电机组延寿</w:t>
            </w:r>
            <w:r>
              <w:rPr>
                <w:rFonts w:hint="eastAsia" w:ascii="宋体" w:hAnsi="宋体" w:eastAsia="宋体" w:cs="宋体"/>
                <w:bCs/>
                <w:sz w:val="21"/>
                <w:szCs w:val="21"/>
                <w:lang w:val="en-US" w:eastAsia="zh-CN"/>
              </w:rPr>
              <w:t>评估处于一种比较模糊的状态，没有统一的指导性文件。因此编制</w:t>
            </w:r>
            <w:r>
              <w:rPr>
                <w:rFonts w:hint="eastAsia" w:ascii="宋体" w:hAnsi="宋体" w:cs="宋体"/>
                <w:bCs/>
                <w:sz w:val="21"/>
                <w:szCs w:val="21"/>
                <w:lang w:val="en-US" w:eastAsia="zh-CN"/>
              </w:rPr>
              <w:t>机组延寿的</w:t>
            </w:r>
            <w:r>
              <w:rPr>
                <w:rFonts w:hint="eastAsia" w:ascii="宋体" w:hAnsi="宋体" w:eastAsia="宋体" w:cs="宋体"/>
                <w:bCs/>
                <w:sz w:val="21"/>
                <w:szCs w:val="21"/>
                <w:lang w:val="en-US" w:eastAsia="zh-CN"/>
              </w:rPr>
              <w:t>评估</w:t>
            </w:r>
            <w:r>
              <w:rPr>
                <w:rFonts w:hint="eastAsia" w:ascii="宋体" w:hAnsi="宋体" w:cs="宋体"/>
                <w:bCs/>
                <w:sz w:val="21"/>
                <w:szCs w:val="21"/>
                <w:lang w:val="en-US" w:eastAsia="zh-CN"/>
              </w:rPr>
              <w:t>技术要求</w:t>
            </w:r>
            <w:r>
              <w:rPr>
                <w:rFonts w:hint="eastAsia" w:ascii="宋体" w:hAnsi="宋体" w:eastAsia="宋体" w:cs="宋体"/>
                <w:bCs/>
                <w:sz w:val="21"/>
                <w:szCs w:val="21"/>
                <w:lang w:val="en-US" w:eastAsia="zh-CN"/>
              </w:rPr>
              <w:t>，规定评估流程</w:t>
            </w:r>
            <w:r>
              <w:rPr>
                <w:rFonts w:hint="eastAsia" w:ascii="宋体" w:hAnsi="宋体" w:cs="宋体"/>
                <w:bCs/>
                <w:sz w:val="21"/>
                <w:szCs w:val="21"/>
                <w:lang w:val="en-US" w:eastAsia="zh-CN"/>
              </w:rPr>
              <w:t>和各</w:t>
            </w:r>
            <w:r>
              <w:rPr>
                <w:rFonts w:hint="eastAsia" w:ascii="宋体" w:hAnsi="宋体" w:eastAsia="宋体" w:cs="宋体"/>
                <w:bCs/>
                <w:sz w:val="21"/>
                <w:szCs w:val="21"/>
                <w:lang w:val="en-US" w:eastAsia="zh-CN"/>
              </w:rPr>
              <w:t>评估环节的要求，对于</w:t>
            </w:r>
            <w:r>
              <w:rPr>
                <w:rFonts w:hint="eastAsia" w:ascii="宋体" w:hAnsi="宋体" w:cs="宋体"/>
                <w:bCs/>
                <w:sz w:val="21"/>
                <w:szCs w:val="21"/>
                <w:lang w:val="en-US" w:eastAsia="zh-CN"/>
              </w:rPr>
              <w:t>指导认证机构开展风电机组延寿评估工作</w:t>
            </w:r>
            <w:r>
              <w:rPr>
                <w:rFonts w:hint="eastAsia" w:ascii="宋体" w:hAnsi="宋体" w:eastAsia="宋体" w:cs="宋体"/>
                <w:bCs/>
                <w:sz w:val="21"/>
                <w:szCs w:val="21"/>
                <w:lang w:val="en-US" w:eastAsia="zh-CN"/>
              </w:rPr>
              <w:t>，</w:t>
            </w:r>
            <w:r>
              <w:rPr>
                <w:rFonts w:hint="eastAsia" w:ascii="宋体" w:hAnsi="宋体" w:cs="宋体"/>
                <w:bCs/>
                <w:sz w:val="21"/>
                <w:szCs w:val="21"/>
                <w:lang w:val="en-US" w:eastAsia="zh-CN"/>
              </w:rPr>
              <w:t>高质量满足风电开发业主的实际需求</w:t>
            </w:r>
            <w:r>
              <w:rPr>
                <w:rFonts w:hint="eastAsia" w:ascii="宋体" w:hAnsi="宋体" w:eastAsia="宋体" w:cs="宋体"/>
                <w:bCs/>
                <w:sz w:val="21"/>
                <w:szCs w:val="21"/>
                <w:lang w:val="en-US" w:eastAsia="zh-CN"/>
              </w:rPr>
              <w:t>，具有</w:t>
            </w:r>
            <w:r>
              <w:rPr>
                <w:rFonts w:hint="eastAsia" w:ascii="宋体" w:hAnsi="宋体" w:cs="宋体"/>
                <w:bCs/>
                <w:sz w:val="21"/>
                <w:szCs w:val="21"/>
                <w:lang w:val="en-US" w:eastAsia="zh-CN"/>
              </w:rPr>
              <w:t>重要价值。</w:t>
            </w:r>
          </w:p>
          <w:p>
            <w:pPr>
              <w:widowControl/>
              <w:wordWrap/>
              <w:adjustRightInd/>
              <w:snapToGrid/>
              <w:spacing w:line="360" w:lineRule="auto"/>
              <w:ind w:right="0" w:firstLine="480"/>
              <w:jc w:val="left"/>
              <w:textAlignment w:val="auto"/>
              <w:outlineLvl w:val="9"/>
              <w:rPr>
                <w:rFonts w:hint="eastAsia" w:ascii="宋体" w:hAnsi="宋体" w:cs="宋体"/>
                <w:bCs/>
                <w:sz w:val="24"/>
                <w:szCs w:val="24"/>
                <w:lang w:val="en-US" w:eastAsia="zh-CN"/>
              </w:rPr>
            </w:pPr>
          </w:p>
          <w:p>
            <w:pPr>
              <w:rPr>
                <w:rFonts w:ascii="宋体" w:hAnsi="宋体"/>
                <w:color w:val="000000"/>
                <w:szCs w:val="21"/>
              </w:rPr>
            </w:pPr>
          </w:p>
        </w:tc>
      </w:tr>
      <w:tr>
        <w:trPr>
          <w:cantSplit/>
          <w:trHeight w:val="3984" w:hRule="exact"/>
        </w:trPr>
        <w:tc>
          <w:tcPr>
            <w:tcW w:w="1794" w:type="dxa"/>
            <w:tcBorders>
              <w:top w:val="single" w:color="auto" w:sz="4" w:space="0"/>
              <w:left w:val="single" w:color="auto" w:sz="4" w:space="0"/>
              <w:bottom w:val="single" w:color="auto" w:sz="4" w:space="0"/>
              <w:right w:val="single" w:color="auto" w:sz="4" w:space="0"/>
            </w:tcBorders>
            <w:vAlign w:val="center"/>
          </w:tcPr>
          <w:p>
            <w:pPr>
              <w:ind w:left="141" w:leftChars="67" w:right="36" w:rightChars="17"/>
              <w:rPr>
                <w:rFonts w:ascii="宋体" w:hAnsi="宋体"/>
                <w:color w:val="000000"/>
                <w:szCs w:val="21"/>
              </w:rPr>
            </w:pPr>
            <w:r>
              <w:rPr>
                <w:rFonts w:ascii="宋体" w:hAnsi="宋体"/>
                <w:color w:val="000000"/>
                <w:szCs w:val="21"/>
              </w:rPr>
              <w:t>2.2 与国内外相关标准、文献的关系</w:t>
            </w:r>
          </w:p>
        </w:tc>
        <w:tc>
          <w:tcPr>
            <w:tcW w:w="7590" w:type="dxa"/>
            <w:tcBorders>
              <w:top w:val="single" w:color="auto" w:sz="4" w:space="0"/>
              <w:left w:val="single" w:color="auto" w:sz="4" w:space="0"/>
              <w:bottom w:val="single" w:color="auto" w:sz="4" w:space="0"/>
              <w:right w:val="single" w:color="auto" w:sz="4" w:space="0"/>
            </w:tcBorders>
            <w:vAlign w:val="center"/>
          </w:tcPr>
          <w:p>
            <w:pPr>
              <w:widowControl/>
              <w:wordWrap/>
              <w:adjustRightInd/>
              <w:snapToGrid/>
              <w:spacing w:line="360" w:lineRule="auto"/>
              <w:ind w:right="0" w:firstLine="480"/>
              <w:jc w:val="left"/>
              <w:textAlignment w:val="auto"/>
              <w:outlineLvl w:val="9"/>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本标准遵守现行法律、法规和强制性国家标准，与它们相符合，无冲突。</w:t>
            </w:r>
          </w:p>
          <w:p>
            <w:pPr>
              <w:widowControl/>
              <w:wordWrap/>
              <w:adjustRightInd/>
              <w:snapToGrid/>
              <w:spacing w:line="360" w:lineRule="auto"/>
              <w:ind w:right="0" w:firstLine="480"/>
              <w:jc w:val="left"/>
              <w:textAlignment w:val="auto"/>
              <w:outlineLvl w:val="9"/>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本标准的术语等引用自GB/T 18451.1-2012《风力发电机组  设计要求》、GB∕T 31517-2015 《海上风力发电机组 设计要求》。GB/T 18451.1-2012与GB/T 31517-2015主要分别参照IEC61400-1与IEC61400-3标准翻译而来。上述国内外标准对风电机组整体设计要求进行了规定，但对于风电机组延寿评估内容，并无涉及。</w:t>
            </w:r>
          </w:p>
          <w:p>
            <w:pPr>
              <w:widowControl/>
              <w:wordWrap/>
              <w:adjustRightInd/>
              <w:snapToGrid/>
              <w:spacing w:line="360" w:lineRule="auto"/>
              <w:ind w:right="0" w:firstLine="480"/>
              <w:jc w:val="left"/>
              <w:textAlignment w:val="auto"/>
              <w:outlineLvl w:val="9"/>
              <w:rPr>
                <w:rFonts w:ascii="宋体" w:hAnsi="宋体"/>
                <w:color w:val="000000"/>
                <w:szCs w:val="21"/>
              </w:rPr>
            </w:pPr>
            <w:r>
              <w:rPr>
                <w:rFonts w:hint="eastAsia" w:ascii="宋体" w:hAnsi="宋体" w:eastAsia="宋体" w:cs="宋体"/>
                <w:bCs/>
                <w:sz w:val="21"/>
                <w:szCs w:val="21"/>
                <w:lang w:val="en-US" w:eastAsia="zh-CN"/>
              </w:rPr>
              <w:t>因此本标准是风力发电机组寿命延长评估时，对具体评估过程与各评估环节技术要求的规范化。</w:t>
            </w:r>
          </w:p>
        </w:tc>
      </w:tr>
    </w:tbl>
    <w:p>
      <w:pPr>
        <w:rPr>
          <w:rFonts w:eastAsia="仿宋_GB2312"/>
          <w:b/>
          <w:color w:val="000000"/>
          <w:kern w:val="0"/>
          <w:sz w:val="32"/>
        </w:rPr>
      </w:pPr>
    </w:p>
    <w:tbl>
      <w:tblPr>
        <w:tblpPr w:leftFromText="180" w:rightFromText="180" w:vertAnchor="text" w:horzAnchor="margin" w:tblpXSpec="center" w:tblpY="169"/>
        <w:tblW w:w="9625"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002"/>
        <w:gridCol w:w="7623"/>
      </w:tblGrid>
      <w:tr>
        <w:trPr>
          <w:cantSplit/>
          <w:trHeight w:val="465" w:hRule="exact"/>
        </w:trPr>
        <w:tc>
          <w:tcPr>
            <w:tcW w:w="9625" w:type="dxa"/>
            <w:gridSpan w:val="2"/>
            <w:tcBorders>
              <w:top w:val="nil"/>
              <w:left w:val="nil"/>
              <w:bottom w:val="nil"/>
              <w:right w:val="nil"/>
            </w:tcBorders>
            <w:vAlign w:val="center"/>
          </w:tcPr>
          <w:p>
            <w:pPr>
              <w:rPr>
                <w:rFonts w:ascii="宋体" w:hAnsi="宋体"/>
                <w:b/>
                <w:color w:val="000000"/>
                <w:szCs w:val="21"/>
              </w:rPr>
            </w:pPr>
            <w:r>
              <w:rPr>
                <w:rFonts w:hint="eastAsia" w:ascii="宋体" w:hAnsi="宋体"/>
                <w:b/>
                <w:color w:val="000000"/>
                <w:szCs w:val="21"/>
              </w:rPr>
              <w:t>3  编制过程</w:t>
            </w:r>
          </w:p>
        </w:tc>
      </w:tr>
      <w:tr>
        <w:trPr>
          <w:cantSplit/>
          <w:trHeight w:val="3192" w:hRule="atLeast"/>
        </w:trPr>
        <w:tc>
          <w:tcPr>
            <w:tcW w:w="2002" w:type="dxa"/>
            <w:tcBorders>
              <w:top w:val="single" w:color="auto" w:sz="4" w:space="0"/>
              <w:bottom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3.</w:t>
            </w:r>
            <w:r>
              <w:rPr>
                <w:rFonts w:hint="eastAsia" w:ascii="宋体" w:hAnsi="宋体"/>
                <w:color w:val="000000"/>
                <w:szCs w:val="21"/>
              </w:rPr>
              <w:t>1</w:t>
            </w:r>
            <w:r>
              <w:rPr>
                <w:rFonts w:ascii="宋体" w:hAnsi="宋体"/>
                <w:color w:val="000000"/>
                <w:szCs w:val="21"/>
              </w:rPr>
              <w:t xml:space="preserve"> 分工情况</w:t>
            </w:r>
          </w:p>
        </w:tc>
        <w:tc>
          <w:tcPr>
            <w:tcW w:w="7623" w:type="dxa"/>
            <w:tcBorders>
              <w:bottom w:val="single" w:color="auto" w:sz="4" w:space="0"/>
            </w:tcBorders>
            <w:vAlign w:val="center"/>
          </w:tcPr>
          <w:p>
            <w:pPr>
              <w:rPr>
                <w:rFonts w:hint="eastAsia" w:ascii="宋体" w:hAnsi="宋体"/>
                <w:color w:val="000000"/>
                <w:szCs w:val="21"/>
                <w:lang w:val="en-US" w:eastAsia="zh-CN"/>
              </w:rPr>
            </w:pPr>
            <w:r>
              <w:rPr>
                <w:rFonts w:hint="eastAsia" w:ascii="宋体" w:hAnsi="宋体"/>
                <w:color w:val="000000"/>
                <w:szCs w:val="21"/>
                <w:lang w:val="en-US" w:eastAsia="zh-CN"/>
              </w:rPr>
              <w:t>康  巍，中国质量认证中心风能部部长，总负责人</w:t>
            </w:r>
          </w:p>
          <w:p>
            <w:pPr>
              <w:rPr>
                <w:rFonts w:hint="eastAsia" w:ascii="宋体" w:hAnsi="宋体"/>
                <w:color w:val="000000"/>
                <w:szCs w:val="21"/>
                <w:lang w:val="en-US" w:eastAsia="zh-CN"/>
              </w:rPr>
            </w:pPr>
            <w:r>
              <w:rPr>
                <w:rFonts w:hint="eastAsia" w:ascii="宋体" w:hAnsi="宋体"/>
                <w:color w:val="000000"/>
                <w:szCs w:val="21"/>
                <w:lang w:val="en-US" w:eastAsia="zh-CN"/>
              </w:rPr>
              <w:t>李建桥，中国质量认证中心认证主管，标准编制人</w:t>
            </w:r>
          </w:p>
          <w:p>
            <w:pPr>
              <w:rPr>
                <w:rFonts w:hint="eastAsia" w:ascii="宋体" w:hAnsi="宋体"/>
                <w:color w:val="000000"/>
                <w:szCs w:val="21"/>
                <w:lang w:val="en-US" w:eastAsia="zh-CN"/>
              </w:rPr>
            </w:pPr>
            <w:r>
              <w:rPr>
                <w:rFonts w:hint="eastAsia" w:ascii="宋体" w:hAnsi="宋体"/>
                <w:color w:val="000000"/>
                <w:szCs w:val="21"/>
                <w:lang w:val="en-US" w:eastAsia="zh-CN"/>
              </w:rPr>
              <w:t>李  常，中国质量认证中心认证主管，标准编制人</w:t>
            </w:r>
          </w:p>
          <w:p>
            <w:pPr>
              <w:rPr>
                <w:rFonts w:hint="eastAsia" w:ascii="宋体" w:hAnsi="宋体"/>
                <w:color w:val="000000"/>
                <w:szCs w:val="21"/>
                <w:lang w:val="en-US" w:eastAsia="zh-CN"/>
              </w:rPr>
            </w:pPr>
            <w:r>
              <w:rPr>
                <w:rFonts w:hint="eastAsia" w:ascii="宋体" w:hAnsi="宋体"/>
                <w:color w:val="000000"/>
                <w:szCs w:val="21"/>
                <w:lang w:val="en-US" w:eastAsia="zh-CN"/>
              </w:rPr>
              <w:t>王伟峰，中国质量认证中心认证主管，标准编制人</w:t>
            </w:r>
          </w:p>
          <w:p>
            <w:pPr>
              <w:rPr>
                <w:rFonts w:hint="eastAsia" w:ascii="宋体" w:hAnsi="宋体"/>
                <w:color w:val="000000"/>
                <w:szCs w:val="21"/>
                <w:lang w:val="en-US" w:eastAsia="zh-CN"/>
              </w:rPr>
            </w:pPr>
            <w:r>
              <w:rPr>
                <w:rFonts w:hint="eastAsia" w:ascii="宋体" w:hAnsi="宋体"/>
                <w:color w:val="000000"/>
                <w:szCs w:val="21"/>
                <w:lang w:val="en-US" w:eastAsia="zh-CN"/>
              </w:rPr>
              <w:t>袁  瑛，中国质量认证中心认证主管，标准编制人</w:t>
            </w:r>
          </w:p>
          <w:p>
            <w:pPr>
              <w:rPr>
                <w:rFonts w:hint="eastAsia" w:ascii="宋体" w:hAnsi="宋体"/>
                <w:color w:val="000000"/>
                <w:szCs w:val="21"/>
                <w:lang w:val="en-US" w:eastAsia="zh-CN"/>
              </w:rPr>
            </w:pPr>
            <w:r>
              <w:rPr>
                <w:rFonts w:hint="eastAsia" w:ascii="宋体" w:hAnsi="宋体"/>
                <w:color w:val="000000"/>
                <w:szCs w:val="21"/>
                <w:lang w:val="en-US" w:eastAsia="zh-CN"/>
              </w:rPr>
              <w:t>徐秉俊，上海中认尚科新能源技术有限公司总经理，工作协调人</w:t>
            </w:r>
          </w:p>
          <w:p>
            <w:pPr>
              <w:rPr>
                <w:rFonts w:hint="eastAsia" w:ascii="宋体" w:hAnsi="宋体"/>
                <w:color w:val="000000"/>
                <w:szCs w:val="21"/>
                <w:lang w:val="en-US" w:eastAsia="zh-CN"/>
              </w:rPr>
            </w:pPr>
            <w:r>
              <w:rPr>
                <w:rFonts w:hint="eastAsia" w:ascii="宋体" w:hAnsi="宋体"/>
                <w:color w:val="000000"/>
                <w:szCs w:val="21"/>
                <w:lang w:val="en-US" w:eastAsia="zh-CN"/>
              </w:rPr>
              <w:t>肖学成，上海中认尚科新能源技术有限公司仿真部部长，标准编制人</w:t>
            </w:r>
          </w:p>
          <w:p>
            <w:pPr>
              <w:rPr>
                <w:rFonts w:hint="eastAsia" w:ascii="宋体" w:hAnsi="宋体"/>
                <w:color w:val="000000"/>
                <w:szCs w:val="21"/>
                <w:lang w:val="en-US" w:eastAsia="zh-CN"/>
              </w:rPr>
            </w:pPr>
            <w:r>
              <w:rPr>
                <w:rFonts w:hint="eastAsia" w:ascii="宋体" w:hAnsi="宋体"/>
                <w:color w:val="000000"/>
                <w:szCs w:val="21"/>
                <w:lang w:val="en-US" w:eastAsia="zh-CN"/>
              </w:rPr>
              <w:t>梁  科，上海电气风电集团有限公司，技术主管，标准编制人</w:t>
            </w:r>
          </w:p>
          <w:p>
            <w:pPr>
              <w:rPr>
                <w:rFonts w:hint="default" w:ascii="宋体" w:hAnsi="宋体"/>
                <w:color w:val="000000"/>
                <w:szCs w:val="21"/>
                <w:lang w:val="en-US" w:eastAsia="zh-CN"/>
              </w:rPr>
            </w:pPr>
            <w:r>
              <w:rPr>
                <w:rFonts w:hint="eastAsia" w:ascii="宋体" w:hAnsi="宋体"/>
                <w:color w:val="000000"/>
                <w:szCs w:val="21"/>
                <w:lang w:val="en-US" w:eastAsia="zh-CN"/>
              </w:rPr>
              <w:t>王  宁，中国质量认证中心体系人员，项目支持</w:t>
            </w:r>
          </w:p>
          <w:p>
            <w:pPr>
              <w:rPr>
                <w:rFonts w:hint="default" w:ascii="宋体" w:hAnsi="宋体"/>
                <w:color w:val="000000"/>
                <w:szCs w:val="21"/>
                <w:lang w:val="en-US" w:eastAsia="zh-CN"/>
              </w:rPr>
            </w:pPr>
          </w:p>
        </w:tc>
      </w:tr>
      <w:tr>
        <w:trPr>
          <w:cantSplit/>
          <w:trHeight w:val="2402" w:hRule="atLeast"/>
        </w:trPr>
        <w:tc>
          <w:tcPr>
            <w:tcW w:w="2002" w:type="dxa"/>
            <w:tcBorders>
              <w:top w:val="single" w:color="auto" w:sz="4" w:space="0"/>
              <w:bottom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3.</w:t>
            </w:r>
            <w:r>
              <w:rPr>
                <w:rFonts w:hint="eastAsia" w:ascii="宋体" w:hAnsi="宋体"/>
                <w:color w:val="000000"/>
                <w:szCs w:val="21"/>
              </w:rPr>
              <w:t>2起草阶段</w:t>
            </w:r>
          </w:p>
        </w:tc>
        <w:tc>
          <w:tcPr>
            <w:tcW w:w="7623" w:type="dxa"/>
            <w:tcBorders>
              <w:bottom w:val="single" w:color="auto" w:sz="4" w:space="0"/>
            </w:tcBorders>
            <w:vAlign w:val="center"/>
          </w:tcPr>
          <w:p>
            <w:pPr>
              <w:rPr>
                <w:rFonts w:hint="default" w:ascii="宋体" w:hAnsi="宋体"/>
                <w:color w:val="000000"/>
                <w:szCs w:val="21"/>
                <w:lang w:val="en-US" w:eastAsia="zh-CN"/>
              </w:rPr>
            </w:pPr>
            <w:r>
              <w:rPr>
                <w:rFonts w:hint="eastAsia" w:ascii="宋体" w:hAnsi="宋体"/>
                <w:color w:val="000000"/>
                <w:szCs w:val="21"/>
                <w:lang w:val="en-US" w:eastAsia="zh-CN"/>
              </w:rPr>
              <w:t>1）2017年04月，标准起草工作组成立，完成工作分工；</w:t>
            </w:r>
          </w:p>
          <w:p>
            <w:pPr>
              <w:rPr>
                <w:rFonts w:hint="default" w:ascii="宋体" w:hAnsi="宋体"/>
                <w:color w:val="000000"/>
                <w:szCs w:val="21"/>
                <w:lang w:val="en-US" w:eastAsia="zh-CN"/>
              </w:rPr>
            </w:pPr>
            <w:r>
              <w:rPr>
                <w:rFonts w:hint="eastAsia" w:ascii="宋体" w:hAnsi="宋体"/>
                <w:color w:val="000000"/>
                <w:szCs w:val="21"/>
                <w:lang w:val="en-US" w:eastAsia="zh-CN"/>
              </w:rPr>
              <w:t>2）2018年01月，各专业方向完成国内外相关资料的收集和技术研究；</w:t>
            </w:r>
          </w:p>
          <w:p>
            <w:pPr>
              <w:rPr>
                <w:rFonts w:hint="default" w:ascii="宋体" w:hAnsi="宋体"/>
                <w:color w:val="000000"/>
                <w:szCs w:val="21"/>
                <w:lang w:val="en-US" w:eastAsia="zh-CN"/>
              </w:rPr>
            </w:pPr>
            <w:r>
              <w:rPr>
                <w:rFonts w:hint="eastAsia" w:ascii="宋体" w:hAnsi="宋体"/>
                <w:color w:val="000000"/>
                <w:szCs w:val="21"/>
                <w:lang w:val="en-US" w:eastAsia="zh-CN"/>
              </w:rPr>
              <w:t>3）2018年08月，归集各专业方向编制的章节内容，完成标准文件起草工作；</w:t>
            </w:r>
          </w:p>
          <w:p>
            <w:pPr>
              <w:rPr>
                <w:rFonts w:hint="eastAsia" w:ascii="宋体" w:hAnsi="宋体"/>
                <w:color w:val="000000"/>
                <w:szCs w:val="21"/>
                <w:lang w:val="en-US" w:eastAsia="zh-CN"/>
              </w:rPr>
            </w:pPr>
            <w:r>
              <w:rPr>
                <w:rFonts w:hint="eastAsia" w:ascii="宋体" w:hAnsi="宋体"/>
                <w:color w:val="000000"/>
                <w:szCs w:val="21"/>
                <w:lang w:val="en-US" w:eastAsia="zh-CN"/>
              </w:rPr>
              <w:t>4）2019年02月，标准验证；</w:t>
            </w:r>
          </w:p>
          <w:p>
            <w:pPr>
              <w:rPr>
                <w:rFonts w:hint="default" w:ascii="宋体" w:hAnsi="宋体"/>
                <w:color w:val="000000"/>
                <w:szCs w:val="21"/>
                <w:lang w:val="en-US" w:eastAsia="zh-CN"/>
              </w:rPr>
            </w:pPr>
            <w:r>
              <w:rPr>
                <w:rFonts w:hint="eastAsia" w:ascii="宋体" w:hAnsi="宋体"/>
                <w:color w:val="000000"/>
                <w:szCs w:val="21"/>
                <w:lang w:val="en-US" w:eastAsia="zh-CN"/>
              </w:rPr>
              <w:t>5）2019年04月，标准修订。</w:t>
            </w:r>
          </w:p>
        </w:tc>
      </w:tr>
      <w:tr>
        <w:trPr>
          <w:cantSplit/>
          <w:trHeight w:val="1715" w:hRule="atLeast"/>
        </w:trPr>
        <w:tc>
          <w:tcPr>
            <w:tcW w:w="2002" w:type="dxa"/>
            <w:tcBorders>
              <w:top w:val="single" w:color="auto" w:sz="4" w:space="0"/>
              <w:bottom w:val="single" w:color="auto" w:sz="6" w:space="0"/>
            </w:tcBorders>
            <w:vAlign w:val="center"/>
          </w:tcPr>
          <w:p>
            <w:pPr>
              <w:ind w:left="141" w:leftChars="67" w:right="176" w:rightChars="84"/>
              <w:rPr>
                <w:rFonts w:ascii="宋体" w:hAnsi="宋体"/>
                <w:color w:val="000000"/>
                <w:szCs w:val="21"/>
              </w:rPr>
            </w:pPr>
            <w:r>
              <w:rPr>
                <w:rFonts w:ascii="宋体" w:hAnsi="宋体"/>
                <w:color w:val="000000"/>
                <w:szCs w:val="21"/>
              </w:rPr>
              <w:t>3.</w:t>
            </w:r>
            <w:r>
              <w:rPr>
                <w:rFonts w:hint="eastAsia" w:ascii="宋体" w:hAnsi="宋体"/>
                <w:color w:val="000000"/>
                <w:szCs w:val="21"/>
              </w:rPr>
              <w:t>3征求意见阶段</w:t>
            </w:r>
          </w:p>
        </w:tc>
        <w:tc>
          <w:tcPr>
            <w:tcW w:w="7623" w:type="dxa"/>
            <w:tcBorders>
              <w:top w:val="single" w:color="auto" w:sz="4" w:space="0"/>
              <w:bottom w:val="single" w:color="auto" w:sz="6" w:space="0"/>
            </w:tcBorders>
            <w:vAlign w:val="center"/>
          </w:tcPr>
          <w:p>
            <w:pPr>
              <w:rPr>
                <w:rFonts w:hint="default" w:ascii="宋体" w:hAnsi="宋体"/>
                <w:color w:val="000000"/>
                <w:szCs w:val="21"/>
                <w:lang w:val="en-US" w:eastAsia="zh-CN"/>
              </w:rPr>
            </w:pPr>
            <w:r>
              <w:rPr>
                <w:rFonts w:hint="eastAsia" w:ascii="宋体" w:hAnsi="宋体"/>
                <w:color w:val="000000"/>
                <w:szCs w:val="21"/>
                <w:lang w:val="en-US" w:eastAsia="zh-CN"/>
              </w:rPr>
              <w:t>1）2019年05月，组织标准讨论会，征求标准修改意见，完成标准意见稿。</w:t>
            </w:r>
          </w:p>
          <w:p>
            <w:pPr>
              <w:rPr>
                <w:rFonts w:hint="eastAsia" w:ascii="宋体" w:hAnsi="宋体"/>
                <w:color w:val="000000"/>
                <w:szCs w:val="21"/>
                <w:lang w:val="en-US" w:eastAsia="zh-CN"/>
              </w:rPr>
            </w:pPr>
          </w:p>
          <w:p>
            <w:pPr>
              <w:rPr>
                <w:rFonts w:hint="eastAsia" w:ascii="宋体" w:hAnsi="宋体"/>
                <w:color w:val="000000"/>
                <w:szCs w:val="21"/>
                <w:lang w:val="en-US" w:eastAsia="zh-CN"/>
              </w:rPr>
            </w:pPr>
          </w:p>
        </w:tc>
      </w:tr>
      <w:tr>
        <w:trPr>
          <w:cantSplit/>
          <w:trHeight w:val="1973" w:hRule="atLeast"/>
        </w:trPr>
        <w:tc>
          <w:tcPr>
            <w:tcW w:w="2002" w:type="dxa"/>
            <w:tcBorders>
              <w:top w:val="single" w:color="auto" w:sz="6" w:space="0"/>
              <w:bottom w:val="single" w:color="auto" w:sz="6" w:space="0"/>
            </w:tcBorders>
            <w:vAlign w:val="center"/>
          </w:tcPr>
          <w:p>
            <w:pPr>
              <w:ind w:left="141" w:leftChars="67" w:right="176" w:rightChars="84"/>
              <w:rPr>
                <w:rFonts w:ascii="宋体" w:hAnsi="宋体"/>
                <w:color w:val="000000"/>
                <w:szCs w:val="21"/>
              </w:rPr>
            </w:pPr>
            <w:r>
              <w:rPr>
                <w:rFonts w:ascii="宋体" w:hAnsi="宋体"/>
                <w:color w:val="000000"/>
                <w:szCs w:val="21"/>
              </w:rPr>
              <w:t>3.</w:t>
            </w:r>
            <w:r>
              <w:rPr>
                <w:rFonts w:hint="eastAsia" w:ascii="宋体" w:hAnsi="宋体"/>
                <w:color w:val="000000"/>
                <w:szCs w:val="21"/>
              </w:rPr>
              <w:t>4标准预审查阶段</w:t>
            </w:r>
          </w:p>
        </w:tc>
        <w:tc>
          <w:tcPr>
            <w:tcW w:w="7623" w:type="dxa"/>
            <w:tcBorders>
              <w:top w:val="single" w:color="auto" w:sz="6" w:space="0"/>
              <w:bottom w:val="single" w:color="auto" w:sz="6" w:space="0"/>
            </w:tcBorders>
            <w:vAlign w:val="center"/>
          </w:tcPr>
          <w:p>
            <w:pPr>
              <w:jc w:val="left"/>
              <w:rPr>
                <w:rFonts w:ascii="宋体" w:hAnsi="宋体"/>
                <w:color w:val="000000"/>
                <w:szCs w:val="21"/>
              </w:rPr>
            </w:pPr>
            <w:r>
              <w:rPr>
                <w:rFonts w:hint="eastAsia" w:ascii="宋体" w:hAnsi="宋体"/>
                <w:color w:val="000000"/>
                <w:szCs w:val="21"/>
                <w:lang w:val="en-US" w:eastAsia="zh-CN"/>
              </w:rPr>
              <w:t>1）2019年06月，标准预审，并归集对第一版修改稿的修改意见，形成送审稿。</w:t>
            </w:r>
          </w:p>
        </w:tc>
      </w:tr>
      <w:tr>
        <w:trPr>
          <w:cantSplit/>
          <w:trHeight w:val="1833" w:hRule="atLeast"/>
        </w:trPr>
        <w:tc>
          <w:tcPr>
            <w:tcW w:w="2002" w:type="dxa"/>
            <w:tcBorders>
              <w:top w:val="single" w:color="auto" w:sz="6" w:space="0"/>
              <w:bottom w:val="single" w:color="auto" w:sz="6" w:space="0"/>
            </w:tcBorders>
            <w:vAlign w:val="center"/>
          </w:tcPr>
          <w:p>
            <w:pPr>
              <w:ind w:left="141" w:leftChars="67" w:right="176" w:rightChars="84"/>
              <w:rPr>
                <w:rFonts w:ascii="宋体" w:hAnsi="宋体"/>
                <w:color w:val="000000"/>
                <w:szCs w:val="21"/>
              </w:rPr>
            </w:pPr>
            <w:r>
              <w:rPr>
                <w:rFonts w:hint="eastAsia" w:ascii="宋体" w:hAnsi="宋体"/>
                <w:color w:val="000000"/>
                <w:szCs w:val="21"/>
              </w:rPr>
              <w:t>3.5标准审查阶段</w:t>
            </w:r>
          </w:p>
        </w:tc>
        <w:tc>
          <w:tcPr>
            <w:tcW w:w="7623" w:type="dxa"/>
            <w:tcBorders>
              <w:top w:val="single" w:color="auto" w:sz="6" w:space="0"/>
              <w:bottom w:val="single" w:color="auto" w:sz="6" w:space="0"/>
            </w:tcBorders>
            <w:vAlign w:val="center"/>
          </w:tcPr>
          <w:p>
            <w:pPr>
              <w:jc w:val="left"/>
              <w:rPr>
                <w:rFonts w:ascii="宋体" w:hAnsi="宋体"/>
                <w:color w:val="000000"/>
                <w:szCs w:val="21"/>
              </w:rPr>
            </w:pPr>
          </w:p>
        </w:tc>
      </w:tr>
    </w:tbl>
    <w:p>
      <w:pPr>
        <w:rPr>
          <w:rFonts w:eastAsia="仿宋_GB2312"/>
          <w:b/>
          <w:color w:val="000000"/>
          <w:kern w:val="0"/>
          <w:sz w:val="32"/>
        </w:rPr>
      </w:pPr>
      <w:r>
        <w:rPr>
          <w:rFonts w:eastAsia="仿宋_GB2312"/>
          <w:b/>
          <w:color w:val="000000"/>
          <w:kern w:val="0"/>
          <w:sz w:val="32"/>
        </w:rPr>
        <w:br w:type="page"/>
      </w:r>
    </w:p>
    <w:tbl>
      <w:tblPr>
        <w:tblpPr w:leftFromText="180" w:rightFromText="180" w:vertAnchor="text" w:horzAnchor="margin" w:tblpXSpec="center" w:tblpY="169"/>
        <w:tblW w:w="962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625"/>
      </w:tblGrid>
      <w:tr>
        <w:trPr>
          <w:cantSplit/>
          <w:trHeight w:val="613" w:hRule="atLeast"/>
          <w:jc w:val="center"/>
        </w:trPr>
        <w:tc>
          <w:tcPr>
            <w:tcW w:w="9625" w:type="dxa"/>
            <w:tcBorders>
              <w:top w:val="nil"/>
              <w:left w:val="nil"/>
              <w:bottom w:val="single" w:color="auto" w:sz="4" w:space="0"/>
              <w:right w:val="nil"/>
            </w:tcBorders>
            <w:vAlign w:val="center"/>
          </w:tcPr>
          <w:p>
            <w:pPr>
              <w:rPr>
                <w:rFonts w:ascii="宋体" w:hAnsi="宋体"/>
                <w:b/>
                <w:color w:val="000000"/>
                <w:szCs w:val="21"/>
              </w:rPr>
            </w:pPr>
            <w:r>
              <w:rPr>
                <w:rFonts w:hint="eastAsia" w:ascii="宋体" w:hAnsi="宋体"/>
                <w:b/>
                <w:color w:val="000000"/>
                <w:szCs w:val="21"/>
              </w:rPr>
              <w:t>4  主要技术内容的确定</w:t>
            </w:r>
          </w:p>
        </w:tc>
      </w:tr>
      <w:tr>
        <w:trPr>
          <w:cantSplit/>
          <w:trHeight w:val="11990" w:hRule="atLeast"/>
          <w:jc w:val="center"/>
        </w:trPr>
        <w:tc>
          <w:tcPr>
            <w:tcW w:w="9625" w:type="dxa"/>
            <w:tcBorders>
              <w:top w:val="single" w:color="auto" w:sz="4" w:space="0"/>
              <w:left w:val="single" w:color="auto" w:sz="4" w:space="0"/>
              <w:bottom w:val="single" w:color="auto" w:sz="4" w:space="0"/>
              <w:right w:val="single" w:color="auto" w:sz="4" w:space="0"/>
            </w:tcBorders>
            <w:vAlign w:val="top"/>
          </w:tcPr>
          <w:p>
            <w:pPr>
              <w:pStyle w:val="47"/>
              <w:widowControl/>
              <w:tabs>
                <w:tab w:val="center" w:pos="4201"/>
                <w:tab w:val="right" w:leader="dot" w:pos="9298"/>
              </w:tabs>
              <w:wordWrap/>
              <w:autoSpaceDE w:val="0"/>
              <w:autoSpaceDN w:val="0"/>
              <w:adjustRightInd/>
              <w:snapToGrid/>
              <w:spacing w:line="360" w:lineRule="auto"/>
              <w:ind w:firstLine="400"/>
              <w:textAlignment w:val="auto"/>
              <w:rPr>
                <w:rFonts w:hint="eastAsia"/>
                <w:sz w:val="21"/>
                <w:szCs w:val="21"/>
                <w:lang w:eastAsia="zh-CN"/>
              </w:rPr>
            </w:pPr>
            <w:r>
              <w:rPr>
                <w:rFonts w:hint="eastAsia"/>
                <w:sz w:val="21"/>
                <w:szCs w:val="21"/>
              </w:rPr>
              <w:t>本标准适用于陆上及海上水平轴风力发电机组（文中以下简称为“风电机组”）的寿命延长技术评估及相关验证</w:t>
            </w:r>
            <w:r>
              <w:rPr>
                <w:rFonts w:hint="eastAsia"/>
                <w:sz w:val="21"/>
                <w:szCs w:val="21"/>
                <w:lang w:eastAsia="zh-CN"/>
              </w:rPr>
              <w:t>。</w:t>
            </w:r>
          </w:p>
          <w:p>
            <w:pPr>
              <w:widowControl w:val="0"/>
              <w:wordWrap/>
              <w:autoSpaceDE w:val="0"/>
              <w:autoSpaceDN w:val="0"/>
              <w:adjustRightInd w:val="0"/>
              <w:snapToGrid/>
              <w:spacing w:line="360" w:lineRule="auto"/>
              <w:ind w:firstLine="420" w:firstLineChars="200"/>
              <w:textAlignment w:val="auto"/>
              <w:rPr>
                <w:sz w:val="21"/>
                <w:szCs w:val="21"/>
              </w:rPr>
            </w:pPr>
            <w:r>
              <w:rPr>
                <w:rFonts w:hint="eastAsia" w:ascii="宋体" w:cs="Times New Roman"/>
                <w:bCs/>
                <w:sz w:val="21"/>
                <w:szCs w:val="21"/>
                <w:lang w:eastAsia="zh-CN"/>
              </w:rPr>
              <w:t>按照风电机组相关设计标准</w:t>
            </w:r>
            <w:r>
              <w:rPr>
                <w:rFonts w:hint="eastAsia" w:ascii="宋体" w:cs="Times New Roman"/>
                <w:bCs/>
                <w:sz w:val="21"/>
                <w:szCs w:val="21"/>
              </w:rPr>
              <w:t>，陆上风</w:t>
            </w:r>
            <w:r>
              <w:rPr>
                <w:rFonts w:hint="eastAsia" w:ascii="宋体" w:cs="Times New Roman"/>
                <w:bCs/>
                <w:sz w:val="21"/>
                <w:szCs w:val="21"/>
                <w:lang w:eastAsia="zh-CN"/>
              </w:rPr>
              <w:t>电</w:t>
            </w:r>
            <w:r>
              <w:rPr>
                <w:rFonts w:hint="eastAsia" w:ascii="宋体" w:cs="Times New Roman"/>
                <w:bCs/>
                <w:sz w:val="21"/>
                <w:szCs w:val="21"/>
              </w:rPr>
              <w:t>机</w:t>
            </w:r>
            <w:r>
              <w:rPr>
                <w:rFonts w:hint="eastAsia" w:ascii="宋体" w:cs="Times New Roman"/>
                <w:bCs/>
                <w:sz w:val="21"/>
                <w:szCs w:val="21"/>
                <w:lang w:eastAsia="zh-CN"/>
              </w:rPr>
              <w:t>组</w:t>
            </w:r>
            <w:r>
              <w:rPr>
                <w:rFonts w:hint="eastAsia" w:ascii="宋体" w:cs="Times New Roman"/>
                <w:bCs/>
                <w:sz w:val="21"/>
                <w:szCs w:val="21"/>
              </w:rPr>
              <w:t>设计寿命</w:t>
            </w:r>
            <w:r>
              <w:rPr>
                <w:rFonts w:hint="eastAsia" w:ascii="宋体" w:cs="Times New Roman"/>
                <w:bCs/>
                <w:sz w:val="21"/>
                <w:szCs w:val="21"/>
                <w:lang w:eastAsia="zh-CN"/>
              </w:rPr>
              <w:t>要求</w:t>
            </w:r>
            <w:r>
              <w:rPr>
                <w:rFonts w:hint="eastAsia" w:ascii="宋体" w:cs="Times New Roman"/>
                <w:bCs/>
                <w:sz w:val="21"/>
                <w:szCs w:val="21"/>
              </w:rPr>
              <w:t>为20年，</w:t>
            </w:r>
            <w:r>
              <w:rPr>
                <w:rFonts w:hint="eastAsia" w:ascii="宋体" w:cs="Times New Roman"/>
                <w:bCs w:val="0"/>
                <w:color w:val="auto"/>
                <w:sz w:val="21"/>
                <w:szCs w:val="21"/>
              </w:rPr>
              <w:t>海上风</w:t>
            </w:r>
            <w:r>
              <w:rPr>
                <w:rFonts w:hint="eastAsia" w:ascii="宋体" w:cs="Times New Roman"/>
                <w:bCs w:val="0"/>
                <w:color w:val="auto"/>
                <w:sz w:val="21"/>
                <w:szCs w:val="21"/>
                <w:lang w:eastAsia="zh-CN"/>
              </w:rPr>
              <w:t>电</w:t>
            </w:r>
            <w:r>
              <w:rPr>
                <w:rFonts w:hint="eastAsia" w:ascii="宋体" w:cs="Times New Roman"/>
                <w:bCs w:val="0"/>
                <w:color w:val="auto"/>
                <w:sz w:val="21"/>
                <w:szCs w:val="21"/>
              </w:rPr>
              <w:t>机</w:t>
            </w:r>
            <w:r>
              <w:rPr>
                <w:rFonts w:hint="eastAsia" w:ascii="宋体" w:cs="Times New Roman"/>
                <w:bCs w:val="0"/>
                <w:color w:val="auto"/>
                <w:sz w:val="21"/>
                <w:szCs w:val="21"/>
                <w:lang w:eastAsia="zh-CN"/>
              </w:rPr>
              <w:t>组</w:t>
            </w:r>
            <w:r>
              <w:rPr>
                <w:rFonts w:hint="eastAsia" w:ascii="宋体" w:cs="Times New Roman"/>
                <w:bCs w:val="0"/>
                <w:color w:val="auto"/>
                <w:sz w:val="21"/>
                <w:szCs w:val="21"/>
              </w:rPr>
              <w:t>设计寿命</w:t>
            </w:r>
            <w:r>
              <w:rPr>
                <w:rFonts w:hint="eastAsia" w:ascii="宋体" w:cs="Times New Roman"/>
                <w:bCs w:val="0"/>
                <w:color w:val="auto"/>
                <w:sz w:val="21"/>
                <w:szCs w:val="21"/>
                <w:lang w:eastAsia="zh-CN"/>
              </w:rPr>
              <w:t>要求</w:t>
            </w:r>
            <w:r>
              <w:rPr>
                <w:rFonts w:hint="eastAsia" w:ascii="宋体" w:cs="Times New Roman"/>
                <w:bCs w:val="0"/>
                <w:color w:val="auto"/>
                <w:sz w:val="21"/>
                <w:szCs w:val="21"/>
              </w:rPr>
              <w:t>为25年</w:t>
            </w:r>
            <w:r>
              <w:rPr>
                <w:rFonts w:hint="eastAsia" w:ascii="宋体" w:cs="Times New Roman"/>
                <w:bCs w:val="0"/>
                <w:color w:val="auto"/>
                <w:sz w:val="21"/>
                <w:szCs w:val="21"/>
                <w:lang w:eastAsia="zh-CN"/>
              </w:rPr>
              <w:t>。</w:t>
            </w:r>
            <w:r>
              <w:rPr>
                <w:rFonts w:hint="eastAsia"/>
                <w:sz w:val="21"/>
                <w:szCs w:val="21"/>
                <w:lang w:eastAsia="zh-CN"/>
              </w:rPr>
              <w:t>在设计寿命未满之前，</w:t>
            </w:r>
            <w:r>
              <w:rPr>
                <w:rFonts w:hint="eastAsia"/>
                <w:sz w:val="21"/>
                <w:szCs w:val="21"/>
              </w:rPr>
              <w:t>若</w:t>
            </w:r>
            <w:r>
              <w:rPr>
                <w:rFonts w:hint="eastAsia"/>
                <w:sz w:val="21"/>
                <w:szCs w:val="21"/>
                <w:lang w:eastAsia="zh-CN"/>
              </w:rPr>
              <w:t>计划风电</w:t>
            </w:r>
            <w:r>
              <w:rPr>
                <w:sz w:val="21"/>
                <w:szCs w:val="21"/>
              </w:rPr>
              <w:t>机组超</w:t>
            </w:r>
            <w:r>
              <w:rPr>
                <w:rFonts w:hint="eastAsia"/>
                <w:sz w:val="21"/>
                <w:szCs w:val="21"/>
                <w:lang w:eastAsia="zh-CN"/>
              </w:rPr>
              <w:t>出</w:t>
            </w:r>
            <w:r>
              <w:rPr>
                <w:sz w:val="21"/>
                <w:szCs w:val="21"/>
              </w:rPr>
              <w:t>设计寿命后</w:t>
            </w:r>
            <w:r>
              <w:rPr>
                <w:rFonts w:hint="eastAsia"/>
                <w:sz w:val="21"/>
                <w:szCs w:val="21"/>
                <w:lang w:eastAsia="zh-CN"/>
              </w:rPr>
              <w:t>将</w:t>
            </w:r>
            <w:r>
              <w:rPr>
                <w:sz w:val="21"/>
                <w:szCs w:val="21"/>
              </w:rPr>
              <w:t>继续</w:t>
            </w:r>
            <w:r>
              <w:rPr>
                <w:rFonts w:hint="eastAsia"/>
                <w:sz w:val="21"/>
                <w:szCs w:val="21"/>
              </w:rPr>
              <w:t>运行</w:t>
            </w:r>
            <w:r>
              <w:rPr>
                <w:sz w:val="21"/>
                <w:szCs w:val="21"/>
              </w:rPr>
              <w:t>，则</w:t>
            </w:r>
            <w:r>
              <w:rPr>
                <w:rFonts w:hint="eastAsia"/>
                <w:sz w:val="21"/>
                <w:szCs w:val="21"/>
              </w:rPr>
              <w:t>应</w:t>
            </w:r>
            <w:r>
              <w:rPr>
                <w:sz w:val="21"/>
                <w:szCs w:val="21"/>
              </w:rPr>
              <w:t>进行</w:t>
            </w:r>
            <w:r>
              <w:rPr>
                <w:rFonts w:hint="eastAsia"/>
                <w:sz w:val="21"/>
                <w:szCs w:val="21"/>
              </w:rPr>
              <w:t>延寿评估</w:t>
            </w:r>
            <w:r>
              <w:rPr>
                <w:sz w:val="21"/>
                <w:szCs w:val="21"/>
              </w:rPr>
              <w:t>。</w:t>
            </w:r>
            <w:r>
              <w:rPr>
                <w:rFonts w:hint="eastAsia" w:ascii="宋体" w:cs="Times New Roman"/>
                <w:bCs w:val="0"/>
                <w:color w:val="auto"/>
                <w:sz w:val="21"/>
                <w:szCs w:val="21"/>
                <w:lang w:eastAsia="zh-CN"/>
              </w:rPr>
              <w:t>延寿评估时假设风电</w:t>
            </w:r>
            <w:r>
              <w:rPr>
                <w:rFonts w:hint="eastAsia"/>
                <w:sz w:val="21"/>
                <w:szCs w:val="21"/>
              </w:rPr>
              <w:t>机组在风电场</w:t>
            </w:r>
            <w:r>
              <w:rPr>
                <w:rFonts w:hint="eastAsia"/>
                <w:sz w:val="21"/>
                <w:szCs w:val="21"/>
                <w:lang w:eastAsia="zh-CN"/>
              </w:rPr>
              <w:t>安装时满足</w:t>
            </w:r>
            <w:r>
              <w:rPr>
                <w:rFonts w:hint="eastAsia"/>
                <w:sz w:val="21"/>
                <w:szCs w:val="21"/>
              </w:rPr>
              <w:t>当时</w:t>
            </w:r>
            <w:r>
              <w:rPr>
                <w:rFonts w:hint="eastAsia"/>
                <w:sz w:val="21"/>
                <w:szCs w:val="21"/>
                <w:lang w:eastAsia="zh-CN"/>
              </w:rPr>
              <w:t>有效的适用</w:t>
            </w:r>
            <w:r>
              <w:rPr>
                <w:rFonts w:hint="eastAsia"/>
                <w:sz w:val="21"/>
                <w:szCs w:val="21"/>
              </w:rPr>
              <w:t>标准</w:t>
            </w:r>
            <w:r>
              <w:rPr>
                <w:rFonts w:hint="eastAsia"/>
                <w:sz w:val="21"/>
                <w:szCs w:val="21"/>
                <w:lang w:eastAsia="zh-CN"/>
              </w:rPr>
              <w:t>或准则。</w:t>
            </w:r>
          </w:p>
          <w:p>
            <w:pPr>
              <w:widowControl w:val="0"/>
              <w:wordWrap/>
              <w:autoSpaceDE w:val="0"/>
              <w:autoSpaceDN w:val="0"/>
              <w:adjustRightInd w:val="0"/>
              <w:snapToGrid/>
              <w:spacing w:line="360" w:lineRule="auto"/>
              <w:ind w:firstLine="420" w:firstLineChars="200"/>
              <w:textAlignment w:val="auto"/>
              <w:rPr>
                <w:rFonts w:hint="eastAsia" w:ascii="宋体" w:cs="Times New Roman"/>
                <w:bCs/>
                <w:sz w:val="21"/>
                <w:szCs w:val="21"/>
              </w:rPr>
            </w:pPr>
            <w:r>
              <w:rPr>
                <w:rFonts w:hint="eastAsia" w:ascii="宋体" w:cs="Times New Roman"/>
                <w:bCs/>
                <w:sz w:val="21"/>
                <w:szCs w:val="21"/>
                <w:lang w:eastAsia="zh-CN"/>
              </w:rPr>
              <w:t>风电</w:t>
            </w:r>
            <w:r>
              <w:rPr>
                <w:rFonts w:hint="eastAsia" w:ascii="宋体" w:cs="Times New Roman"/>
                <w:bCs/>
                <w:sz w:val="21"/>
                <w:szCs w:val="21"/>
              </w:rPr>
              <w:t>机组的延寿</w:t>
            </w:r>
            <w:r>
              <w:rPr>
                <w:rFonts w:hint="eastAsia" w:ascii="宋体" w:cs="Times New Roman"/>
                <w:bCs/>
                <w:sz w:val="21"/>
                <w:szCs w:val="21"/>
                <w:lang w:eastAsia="zh-CN"/>
              </w:rPr>
              <w:t>评估</w:t>
            </w:r>
            <w:r>
              <w:rPr>
                <w:rFonts w:hint="eastAsia" w:ascii="宋体" w:cs="Times New Roman"/>
                <w:bCs/>
                <w:sz w:val="21"/>
                <w:szCs w:val="21"/>
              </w:rPr>
              <w:t>除</w:t>
            </w:r>
            <w:r>
              <w:rPr>
                <w:rFonts w:hint="eastAsia" w:ascii="宋体" w:cs="Times New Roman"/>
                <w:bCs/>
                <w:sz w:val="21"/>
                <w:szCs w:val="21"/>
                <w:lang w:eastAsia="zh-CN"/>
              </w:rPr>
              <w:t>了</w:t>
            </w:r>
            <w:r>
              <w:rPr>
                <w:rFonts w:hint="eastAsia" w:ascii="宋体" w:cs="Times New Roman"/>
                <w:bCs/>
                <w:sz w:val="21"/>
                <w:szCs w:val="21"/>
              </w:rPr>
              <w:t>满足本标准要求外，还</w:t>
            </w:r>
            <w:r>
              <w:rPr>
                <w:rFonts w:hint="eastAsia" w:ascii="宋体" w:cs="Times New Roman"/>
                <w:bCs/>
                <w:sz w:val="21"/>
                <w:szCs w:val="21"/>
                <w:lang w:eastAsia="zh-CN"/>
              </w:rPr>
              <w:t>应</w:t>
            </w:r>
            <w:r>
              <w:rPr>
                <w:rFonts w:hint="eastAsia" w:ascii="宋体" w:cs="Times New Roman"/>
                <w:bCs/>
                <w:sz w:val="21"/>
                <w:szCs w:val="21"/>
              </w:rPr>
              <w:t>满足国家</w:t>
            </w:r>
            <w:r>
              <w:rPr>
                <w:rFonts w:hint="eastAsia" w:ascii="宋体" w:cs="Times New Roman"/>
                <w:bCs/>
                <w:sz w:val="21"/>
                <w:szCs w:val="21"/>
                <w:lang w:eastAsia="zh-CN"/>
              </w:rPr>
              <w:t>当前适用的</w:t>
            </w:r>
            <w:r>
              <w:rPr>
                <w:rFonts w:hint="eastAsia" w:ascii="宋体" w:cs="Times New Roman"/>
                <w:bCs/>
                <w:sz w:val="21"/>
                <w:szCs w:val="21"/>
              </w:rPr>
              <w:t>相关标准</w:t>
            </w:r>
            <w:r>
              <w:rPr>
                <w:rFonts w:hint="eastAsia" w:ascii="宋体" w:cs="Times New Roman"/>
                <w:bCs/>
                <w:sz w:val="21"/>
                <w:szCs w:val="21"/>
                <w:lang w:eastAsia="zh-CN"/>
              </w:rPr>
              <w:t>及</w:t>
            </w:r>
            <w:r>
              <w:rPr>
                <w:rFonts w:hint="eastAsia" w:ascii="宋体" w:cs="Times New Roman"/>
                <w:bCs/>
                <w:sz w:val="21"/>
                <w:szCs w:val="21"/>
              </w:rPr>
              <w:t>规范要求。</w:t>
            </w:r>
          </w:p>
          <w:p>
            <w:pPr>
              <w:widowControl w:val="0"/>
              <w:wordWrap/>
              <w:autoSpaceDE w:val="0"/>
              <w:autoSpaceDN w:val="0"/>
              <w:adjustRightInd w:val="0"/>
              <w:snapToGrid/>
              <w:spacing w:line="360" w:lineRule="auto"/>
              <w:ind w:firstLine="420" w:firstLineChars="200"/>
              <w:textAlignment w:val="auto"/>
              <w:rPr>
                <w:rFonts w:hint="eastAsia"/>
                <w:sz w:val="21"/>
                <w:szCs w:val="21"/>
              </w:rPr>
            </w:pPr>
            <w:r>
              <w:rPr>
                <w:rFonts w:hint="eastAsia"/>
                <w:sz w:val="21"/>
                <w:szCs w:val="21"/>
              </w:rPr>
              <w:t>为保证</w:t>
            </w:r>
            <w:r>
              <w:rPr>
                <w:rFonts w:hint="eastAsia"/>
                <w:sz w:val="21"/>
                <w:szCs w:val="21"/>
                <w:lang w:eastAsia="zh-CN"/>
              </w:rPr>
              <w:t>风电</w:t>
            </w:r>
            <w:r>
              <w:rPr>
                <w:rFonts w:hint="eastAsia"/>
                <w:sz w:val="21"/>
                <w:szCs w:val="21"/>
              </w:rPr>
              <w:t>机组在延寿期间的安全性和可靠性，延寿评估</w:t>
            </w:r>
            <w:r>
              <w:rPr>
                <w:rFonts w:hint="eastAsia"/>
                <w:sz w:val="21"/>
                <w:szCs w:val="21"/>
                <w:lang w:eastAsia="zh-CN"/>
              </w:rPr>
              <w:t>之前</w:t>
            </w:r>
            <w:r>
              <w:rPr>
                <w:rFonts w:hint="eastAsia"/>
                <w:sz w:val="21"/>
                <w:szCs w:val="21"/>
              </w:rPr>
              <w:t>应充分收集</w:t>
            </w:r>
            <w:r>
              <w:rPr>
                <w:rFonts w:hint="eastAsia"/>
                <w:sz w:val="21"/>
                <w:szCs w:val="21"/>
                <w:lang w:eastAsia="zh-CN"/>
              </w:rPr>
              <w:t>风电机组和风电场的相关资料信息</w:t>
            </w:r>
            <w:r>
              <w:rPr>
                <w:rFonts w:hint="eastAsia"/>
                <w:sz w:val="21"/>
                <w:szCs w:val="21"/>
              </w:rPr>
              <w:t>，</w:t>
            </w:r>
            <w:r>
              <w:rPr>
                <w:rFonts w:hint="eastAsia"/>
                <w:sz w:val="21"/>
                <w:szCs w:val="21"/>
                <w:lang w:eastAsia="zh-CN"/>
              </w:rPr>
              <w:t>根据</w:t>
            </w:r>
            <w:r>
              <w:rPr>
                <w:rFonts w:hint="eastAsia"/>
                <w:sz w:val="21"/>
                <w:szCs w:val="21"/>
              </w:rPr>
              <w:t>资料</w:t>
            </w:r>
            <w:r>
              <w:rPr>
                <w:rFonts w:hint="eastAsia"/>
                <w:sz w:val="21"/>
                <w:szCs w:val="21"/>
                <w:lang w:eastAsia="zh-CN"/>
              </w:rPr>
              <w:t>信息获得</w:t>
            </w:r>
            <w:r>
              <w:rPr>
                <w:rFonts w:hint="eastAsia"/>
                <w:sz w:val="21"/>
                <w:szCs w:val="21"/>
              </w:rPr>
              <w:t>情况</w:t>
            </w:r>
            <w:r>
              <w:rPr>
                <w:rFonts w:hint="eastAsia"/>
                <w:sz w:val="21"/>
                <w:szCs w:val="21"/>
                <w:lang w:eastAsia="zh-CN"/>
              </w:rPr>
              <w:t>执行</w:t>
            </w:r>
            <w:r>
              <w:rPr>
                <w:rFonts w:hint="eastAsia"/>
                <w:sz w:val="21"/>
                <w:szCs w:val="21"/>
              </w:rPr>
              <w:t>不同的</w:t>
            </w:r>
            <w:r>
              <w:rPr>
                <w:rFonts w:hint="eastAsia"/>
                <w:sz w:val="21"/>
                <w:szCs w:val="21"/>
                <w:lang w:eastAsia="zh-CN"/>
              </w:rPr>
              <w:t>延寿</w:t>
            </w:r>
            <w:r>
              <w:rPr>
                <w:rFonts w:hint="eastAsia"/>
                <w:sz w:val="21"/>
                <w:szCs w:val="21"/>
              </w:rPr>
              <w:t>评估方法。</w:t>
            </w:r>
          </w:p>
          <w:p>
            <w:pPr>
              <w:widowControl w:val="0"/>
              <w:wordWrap/>
              <w:autoSpaceDE w:val="0"/>
              <w:autoSpaceDN w:val="0"/>
              <w:adjustRightInd w:val="0"/>
              <w:snapToGrid/>
              <w:spacing w:line="360" w:lineRule="auto"/>
              <w:ind w:firstLine="420" w:firstLineChars="200"/>
              <w:textAlignment w:val="auto"/>
              <w:rPr>
                <w:rFonts w:hint="default" w:ascii="宋体" w:hAnsi="宋体"/>
                <w:color w:val="000000"/>
                <w:szCs w:val="21"/>
                <w:lang w:val="en-US" w:eastAsia="zh-CN"/>
              </w:rPr>
            </w:pPr>
            <w:r>
              <w:rPr>
                <w:rFonts w:hint="eastAsia"/>
                <w:sz w:val="21"/>
                <w:szCs w:val="21"/>
                <w:lang w:eastAsia="zh-CN"/>
              </w:rPr>
              <w:t>本标准将延寿评估方法分为三种，即：</w:t>
            </w:r>
            <w:r>
              <w:rPr>
                <w:rFonts w:hint="eastAsia"/>
                <w:sz w:val="21"/>
                <w:szCs w:val="21"/>
                <w:lang w:val="en-US" w:eastAsia="zh-CN"/>
              </w:rPr>
              <w:fldChar w:fldCharType="begin"/>
            </w:r>
            <w:r>
              <w:rPr>
                <w:rFonts w:hint="eastAsia"/>
                <w:sz w:val="21"/>
                <w:szCs w:val="21"/>
                <w:lang w:val="en-US" w:eastAsia="zh-CN"/>
              </w:rPr>
              <w:instrText xml:space="preserve"> = 1 \* GB3 \* MERGEFORMAT </w:instrText>
            </w:r>
            <w:r>
              <w:rPr>
                <w:rFonts w:hint="eastAsia"/>
                <w:sz w:val="21"/>
                <w:szCs w:val="21"/>
                <w:lang w:val="en-US" w:eastAsia="zh-CN"/>
              </w:rPr>
              <w:fldChar w:fldCharType="separate"/>
            </w:r>
            <w:r>
              <w:t>①</w:t>
            </w:r>
            <w:r>
              <w:rPr>
                <w:rFonts w:hint="eastAsia"/>
                <w:sz w:val="21"/>
                <w:szCs w:val="21"/>
                <w:lang w:val="en-US" w:eastAsia="zh-CN"/>
              </w:rPr>
              <w:fldChar w:fldCharType="end"/>
            </w:r>
            <w:r>
              <w:rPr>
                <w:rFonts w:hint="eastAsia"/>
                <w:sz w:val="21"/>
                <w:szCs w:val="21"/>
                <w:lang w:eastAsia="zh-CN"/>
              </w:rPr>
              <w:t>延寿检查；</w:t>
            </w:r>
            <w:r>
              <w:rPr>
                <w:rFonts w:hint="eastAsia"/>
                <w:sz w:val="21"/>
                <w:szCs w:val="21"/>
                <w:lang w:val="en-US" w:eastAsia="zh-CN"/>
              </w:rPr>
              <w:fldChar w:fldCharType="begin"/>
            </w:r>
            <w:r>
              <w:rPr>
                <w:rFonts w:hint="eastAsia"/>
                <w:sz w:val="21"/>
                <w:szCs w:val="21"/>
                <w:lang w:val="en-US" w:eastAsia="zh-CN"/>
              </w:rPr>
              <w:instrText xml:space="preserve"> = 2 \* GB3 \* MERGEFORMAT </w:instrText>
            </w:r>
            <w:r>
              <w:rPr>
                <w:rFonts w:hint="eastAsia"/>
                <w:sz w:val="21"/>
                <w:szCs w:val="21"/>
                <w:lang w:val="en-US" w:eastAsia="zh-CN"/>
              </w:rPr>
              <w:fldChar w:fldCharType="separate"/>
            </w:r>
            <w:r>
              <w:t>②</w:t>
            </w:r>
            <w:r>
              <w:rPr>
                <w:rFonts w:hint="eastAsia"/>
                <w:sz w:val="21"/>
                <w:szCs w:val="21"/>
                <w:lang w:val="en-US" w:eastAsia="zh-CN"/>
              </w:rPr>
              <w:fldChar w:fldCharType="end"/>
            </w:r>
            <w:r>
              <w:rPr>
                <w:rFonts w:hint="eastAsia"/>
                <w:sz w:val="21"/>
                <w:szCs w:val="21"/>
                <w:lang w:eastAsia="zh-CN"/>
              </w:rPr>
              <w:t>简化评估方法；</w:t>
            </w:r>
            <w:r>
              <w:rPr>
                <w:rFonts w:hint="eastAsia"/>
                <w:sz w:val="21"/>
                <w:szCs w:val="21"/>
                <w:lang w:val="en-US" w:eastAsia="zh-CN"/>
              </w:rPr>
              <w:fldChar w:fldCharType="begin"/>
            </w:r>
            <w:r>
              <w:rPr>
                <w:rFonts w:hint="eastAsia"/>
                <w:sz w:val="21"/>
                <w:szCs w:val="21"/>
                <w:lang w:val="en-US" w:eastAsia="zh-CN"/>
              </w:rPr>
              <w:instrText xml:space="preserve"> = 3 \* GB3 \* MERGEFORMAT </w:instrText>
            </w:r>
            <w:r>
              <w:rPr>
                <w:rFonts w:hint="eastAsia"/>
                <w:sz w:val="21"/>
                <w:szCs w:val="21"/>
                <w:lang w:val="en-US" w:eastAsia="zh-CN"/>
              </w:rPr>
              <w:fldChar w:fldCharType="separate"/>
            </w:r>
            <w:r>
              <w:t>③</w:t>
            </w:r>
            <w:r>
              <w:rPr>
                <w:rFonts w:hint="eastAsia"/>
                <w:sz w:val="21"/>
                <w:szCs w:val="21"/>
                <w:lang w:val="en-US" w:eastAsia="zh-CN"/>
              </w:rPr>
              <w:fldChar w:fldCharType="end"/>
            </w:r>
            <w:r>
              <w:rPr>
                <w:rFonts w:hint="eastAsia"/>
                <w:sz w:val="21"/>
                <w:szCs w:val="21"/>
                <w:lang w:eastAsia="zh-CN"/>
              </w:rPr>
              <w:t>详细评估方法。</w:t>
            </w:r>
          </w:p>
          <w:p>
            <w:pPr>
              <w:widowControl w:val="0"/>
              <w:wordWrap/>
              <w:autoSpaceDE w:val="0"/>
              <w:autoSpaceDN w:val="0"/>
              <w:adjustRightInd w:val="0"/>
              <w:snapToGrid/>
              <w:spacing w:line="360" w:lineRule="auto"/>
              <w:ind w:firstLine="420" w:firstLineChars="200"/>
              <w:textAlignment w:val="auto"/>
              <w:rPr>
                <w:rFonts w:hint="default" w:ascii="宋体" w:hAnsi="宋体"/>
                <w:color w:val="000000"/>
                <w:szCs w:val="21"/>
                <w:lang w:val="en-US" w:eastAsia="zh-CN"/>
              </w:rPr>
            </w:pPr>
            <w:r>
              <w:rPr>
                <w:rFonts w:hint="eastAsia"/>
                <w:sz w:val="21"/>
                <w:szCs w:val="21"/>
              </w:rPr>
              <w:t>延寿评估</w:t>
            </w:r>
            <w:r>
              <w:rPr>
                <w:rFonts w:hint="eastAsia"/>
                <w:sz w:val="21"/>
                <w:szCs w:val="21"/>
                <w:lang w:eastAsia="zh-CN"/>
              </w:rPr>
              <w:t>评估范围包括</w:t>
            </w:r>
            <w:r>
              <w:rPr>
                <w:rFonts w:hint="eastAsia"/>
                <w:sz w:val="21"/>
                <w:szCs w:val="21"/>
              </w:rPr>
              <w:t>风</w:t>
            </w:r>
            <w:r>
              <w:rPr>
                <w:rFonts w:hint="eastAsia"/>
                <w:sz w:val="21"/>
                <w:szCs w:val="21"/>
                <w:lang w:eastAsia="zh-CN"/>
              </w:rPr>
              <w:t>电</w:t>
            </w:r>
            <w:r>
              <w:rPr>
                <w:rFonts w:hint="eastAsia"/>
                <w:sz w:val="21"/>
                <w:szCs w:val="21"/>
              </w:rPr>
              <w:t>机</w:t>
            </w:r>
            <w:r>
              <w:rPr>
                <w:rFonts w:hint="eastAsia"/>
                <w:sz w:val="21"/>
                <w:szCs w:val="21"/>
                <w:lang w:eastAsia="zh-CN"/>
              </w:rPr>
              <w:t>组整机及其组成部件或</w:t>
            </w:r>
            <w:r>
              <w:rPr>
                <w:rFonts w:hint="eastAsia"/>
                <w:sz w:val="21"/>
                <w:szCs w:val="21"/>
                <w:lang w:val="en-US" w:eastAsia="zh-CN"/>
              </w:rPr>
              <w:t>系统</w:t>
            </w:r>
            <w:r>
              <w:rPr>
                <w:rFonts w:hint="eastAsia"/>
                <w:sz w:val="21"/>
                <w:szCs w:val="21"/>
              </w:rPr>
              <w:t>，</w:t>
            </w:r>
            <w:r>
              <w:rPr>
                <w:rFonts w:hint="eastAsia"/>
                <w:sz w:val="21"/>
                <w:szCs w:val="21"/>
                <w:lang w:eastAsia="zh-CN"/>
              </w:rPr>
              <w:t>包括所有</w:t>
            </w:r>
            <w:r>
              <w:rPr>
                <w:rFonts w:hint="eastAsia"/>
                <w:sz w:val="21"/>
                <w:szCs w:val="21"/>
              </w:rPr>
              <w:t>载荷</w:t>
            </w:r>
            <w:r>
              <w:rPr>
                <w:rFonts w:hint="eastAsia"/>
                <w:sz w:val="21"/>
                <w:szCs w:val="21"/>
                <w:lang w:eastAsia="zh-CN"/>
              </w:rPr>
              <w:t>传递部件及其连接件，</w:t>
            </w:r>
            <w:r>
              <w:rPr>
                <w:rFonts w:hint="eastAsia"/>
                <w:sz w:val="21"/>
                <w:szCs w:val="21"/>
              </w:rPr>
              <w:t>控制</w:t>
            </w:r>
            <w:r>
              <w:rPr>
                <w:rFonts w:hint="eastAsia"/>
                <w:sz w:val="21"/>
                <w:szCs w:val="21"/>
                <w:lang w:eastAsia="zh-CN"/>
              </w:rPr>
              <w:t>与</w:t>
            </w:r>
            <w:r>
              <w:rPr>
                <w:rFonts w:hint="eastAsia"/>
                <w:sz w:val="21"/>
                <w:szCs w:val="21"/>
              </w:rPr>
              <w:t>保护系统</w:t>
            </w:r>
            <w:r>
              <w:rPr>
                <w:rFonts w:hint="eastAsia"/>
                <w:sz w:val="21"/>
                <w:szCs w:val="21"/>
                <w:lang w:eastAsia="zh-CN"/>
              </w:rPr>
              <w:t>、电气系统等。</w:t>
            </w:r>
          </w:p>
          <w:p>
            <w:pPr>
              <w:tabs>
                <w:tab w:val="left" w:pos="1362"/>
              </w:tabs>
              <w:jc w:val="left"/>
              <w:rPr>
                <w:rFonts w:hint="default" w:ascii="宋体" w:hAnsi="宋体"/>
                <w:color w:val="000000"/>
                <w:szCs w:val="21"/>
                <w:lang w:val="en-US" w:eastAsia="zh-CN"/>
              </w:rPr>
            </w:pPr>
          </w:p>
          <w:p>
            <w:pPr>
              <w:pStyle w:val="28"/>
              <w:tabs>
                <w:tab w:val="right" w:leader="dot" w:pos="9354"/>
              </w:tabs>
            </w:pPr>
            <w:r>
              <w:rPr>
                <w:bCs/>
                <w:color w:val="000000"/>
                <w:lang w:val="zh-CN"/>
              </w:rPr>
              <w:fldChar w:fldCharType="begin"/>
            </w:r>
            <w:r>
              <w:rPr>
                <w:bCs/>
                <w:lang w:val="zh-CN"/>
              </w:rPr>
              <w:instrText xml:space="preserve"> HYPERLINK \l _Toc24151 </w:instrText>
            </w:r>
            <w:r>
              <w:rPr>
                <w:bCs/>
                <w:lang w:val="zh-CN"/>
              </w:rPr>
              <w:fldChar w:fldCharType="separate"/>
            </w:r>
            <w:r>
              <w:rPr>
                <w:rFonts w:hint="eastAsia" w:ascii="黑体" w:hAnsi="Times New Roman" w:eastAsia="黑体"/>
                <w:i w:val="0"/>
                <w:szCs w:val="21"/>
              </w:rPr>
              <w:t xml:space="preserve">1 </w:t>
            </w:r>
            <w:r>
              <w:rPr>
                <w:rFonts w:hint="eastAsia"/>
                <w:szCs w:val="24"/>
              </w:rPr>
              <w:t>范围</w:t>
            </w:r>
            <w:r>
              <w:rPr>
                <w:bCs/>
                <w:color w:val="000000"/>
                <w:lang w:val="zh-CN"/>
              </w:rPr>
              <w:fldChar w:fldCharType="end"/>
            </w:r>
          </w:p>
          <w:p>
            <w:pPr>
              <w:pStyle w:val="28"/>
              <w:tabs>
                <w:tab w:val="right" w:leader="dot" w:pos="9354"/>
              </w:tabs>
            </w:pPr>
            <w:r>
              <w:rPr>
                <w:bCs/>
                <w:color w:val="000000"/>
                <w:lang w:val="zh-CN"/>
              </w:rPr>
              <w:fldChar w:fldCharType="begin"/>
            </w:r>
            <w:r>
              <w:rPr>
                <w:bCs/>
                <w:lang w:val="zh-CN"/>
              </w:rPr>
              <w:instrText xml:space="preserve"> HYPERLINK \l _Toc775 </w:instrText>
            </w:r>
            <w:r>
              <w:rPr>
                <w:bCs/>
                <w:lang w:val="zh-CN"/>
              </w:rPr>
              <w:fldChar w:fldCharType="separate"/>
            </w:r>
            <w:r>
              <w:rPr>
                <w:rFonts w:hint="eastAsia" w:ascii="黑体" w:hAnsi="Times New Roman" w:eastAsia="黑体"/>
                <w:i w:val="0"/>
                <w:szCs w:val="21"/>
              </w:rPr>
              <w:t xml:space="preserve">2 </w:t>
            </w:r>
            <w:r>
              <w:rPr>
                <w:rFonts w:hint="eastAsia"/>
                <w:szCs w:val="24"/>
              </w:rPr>
              <w:t>规范性引用文件</w:t>
            </w:r>
            <w:r>
              <w:rPr>
                <w:bCs/>
                <w:color w:val="000000"/>
                <w:lang w:val="zh-CN"/>
              </w:rPr>
              <w:fldChar w:fldCharType="end"/>
            </w:r>
          </w:p>
          <w:p>
            <w:pPr>
              <w:pStyle w:val="28"/>
              <w:tabs>
                <w:tab w:val="right" w:leader="dot" w:pos="9354"/>
              </w:tabs>
            </w:pPr>
            <w:r>
              <w:rPr>
                <w:bCs/>
                <w:color w:val="000000"/>
                <w:lang w:val="zh-CN"/>
              </w:rPr>
              <w:fldChar w:fldCharType="begin"/>
            </w:r>
            <w:r>
              <w:rPr>
                <w:bCs/>
                <w:lang w:val="zh-CN"/>
              </w:rPr>
              <w:instrText xml:space="preserve"> HYPERLINK \l _Toc30202 </w:instrText>
            </w:r>
            <w:r>
              <w:rPr>
                <w:bCs/>
                <w:lang w:val="zh-CN"/>
              </w:rPr>
              <w:fldChar w:fldCharType="separate"/>
            </w:r>
            <w:r>
              <w:rPr>
                <w:rFonts w:hint="eastAsia" w:ascii="黑体" w:hAnsi="Times New Roman" w:eastAsia="黑体"/>
                <w:i w:val="0"/>
                <w:szCs w:val="21"/>
              </w:rPr>
              <w:t xml:space="preserve">3 </w:t>
            </w:r>
            <w:r>
              <w:rPr>
                <w:rFonts w:hint="eastAsia"/>
                <w:szCs w:val="24"/>
              </w:rPr>
              <w:t>缩略语/首字母缩写词</w:t>
            </w:r>
            <w:r>
              <w:rPr>
                <w:bCs/>
                <w:color w:val="000000"/>
                <w:lang w:val="zh-CN"/>
              </w:rPr>
              <w:fldChar w:fldCharType="end"/>
            </w:r>
          </w:p>
          <w:p>
            <w:pPr>
              <w:pStyle w:val="28"/>
              <w:tabs>
                <w:tab w:val="right" w:leader="dot" w:pos="9354"/>
              </w:tabs>
            </w:pPr>
            <w:r>
              <w:rPr>
                <w:bCs/>
                <w:color w:val="000000"/>
                <w:lang w:val="zh-CN"/>
              </w:rPr>
              <w:fldChar w:fldCharType="begin"/>
            </w:r>
            <w:r>
              <w:rPr>
                <w:bCs/>
                <w:lang w:val="zh-CN"/>
              </w:rPr>
              <w:instrText xml:space="preserve"> HYPERLINK \l _Toc15246 </w:instrText>
            </w:r>
            <w:r>
              <w:rPr>
                <w:bCs/>
                <w:lang w:val="zh-CN"/>
              </w:rPr>
              <w:fldChar w:fldCharType="separate"/>
            </w:r>
            <w:r>
              <w:rPr>
                <w:rFonts w:hint="eastAsia" w:ascii="黑体" w:hAnsi="Times New Roman" w:eastAsia="黑体"/>
                <w:i w:val="0"/>
                <w:szCs w:val="21"/>
              </w:rPr>
              <w:t xml:space="preserve">4 </w:t>
            </w:r>
            <w:r>
              <w:rPr>
                <w:rFonts w:hint="eastAsia"/>
                <w:szCs w:val="24"/>
              </w:rPr>
              <w:t>术语和定义</w:t>
            </w:r>
            <w:r>
              <w:rPr>
                <w:bCs/>
                <w:color w:val="000000"/>
                <w:lang w:val="zh-CN"/>
              </w:rPr>
              <w:fldChar w:fldCharType="end"/>
            </w:r>
          </w:p>
          <w:p>
            <w:pPr>
              <w:pStyle w:val="28"/>
              <w:tabs>
                <w:tab w:val="right" w:leader="dot" w:pos="9354"/>
              </w:tabs>
            </w:pPr>
            <w:r>
              <w:rPr>
                <w:bCs/>
                <w:color w:val="000000"/>
                <w:lang w:val="zh-CN"/>
              </w:rPr>
              <w:fldChar w:fldCharType="begin"/>
            </w:r>
            <w:r>
              <w:rPr>
                <w:bCs/>
                <w:lang w:val="zh-CN"/>
              </w:rPr>
              <w:instrText xml:space="preserve"> HYPERLINK \l _Toc24563 </w:instrText>
            </w:r>
            <w:r>
              <w:rPr>
                <w:bCs/>
                <w:lang w:val="zh-CN"/>
              </w:rPr>
              <w:fldChar w:fldCharType="separate"/>
            </w:r>
            <w:r>
              <w:rPr>
                <w:rFonts w:hint="eastAsia" w:ascii="黑体" w:hAnsi="Times New Roman" w:eastAsia="黑体"/>
                <w:bCs/>
                <w:i w:val="0"/>
                <w:szCs w:val="21"/>
              </w:rPr>
              <w:t xml:space="preserve">5 </w:t>
            </w:r>
            <w:r>
              <w:rPr>
                <w:rFonts w:hint="eastAsia"/>
                <w:szCs w:val="24"/>
              </w:rPr>
              <w:t>延寿评估</w:t>
            </w:r>
            <w:r>
              <w:rPr>
                <w:rFonts w:hint="eastAsia"/>
                <w:szCs w:val="24"/>
                <w:lang w:eastAsia="zh-CN"/>
              </w:rPr>
              <w:t>方法</w:t>
            </w:r>
            <w:r>
              <w:rPr>
                <w:bCs/>
                <w:color w:val="000000"/>
                <w:lang w:val="zh-CN"/>
              </w:rPr>
              <w:fldChar w:fldCharType="end"/>
            </w:r>
          </w:p>
          <w:p>
            <w:pPr>
              <w:pStyle w:val="15"/>
              <w:tabs>
                <w:tab w:val="right" w:leader="dot" w:pos="9354"/>
              </w:tabs>
              <w:rPr>
                <w:rFonts w:hint="default" w:eastAsia="宋体"/>
                <w:lang w:val="en-US" w:eastAsia="zh-CN"/>
              </w:rPr>
            </w:pPr>
            <w:r>
              <w:rPr>
                <w:bCs/>
                <w:color w:val="000000"/>
                <w:lang w:val="zh-CN"/>
              </w:rPr>
              <w:fldChar w:fldCharType="begin"/>
            </w:r>
            <w:r>
              <w:rPr>
                <w:bCs/>
                <w:lang w:val="zh-CN"/>
              </w:rPr>
              <w:instrText xml:space="preserve"> HYPERLINK \l _Toc2863 </w:instrText>
            </w:r>
            <w:r>
              <w:rPr>
                <w:bCs/>
                <w:lang w:val="zh-CN"/>
              </w:rPr>
              <w:fldChar w:fldCharType="separate"/>
            </w:r>
            <w:r>
              <w:rPr>
                <w:rFonts w:hint="eastAsia" w:ascii="黑体" w:hAnsi="Times New Roman" w:eastAsia="黑体" w:cs="Times New Roman"/>
                <w:bCs w:val="0"/>
                <w:i w:val="0"/>
                <w:iCs w:val="0"/>
                <w:caps w:val="0"/>
                <w:strike w:val="0"/>
                <w:dstrike w:val="0"/>
                <w:outline w:val="0"/>
                <w:shadow w:val="0"/>
                <w:spacing w:val="0"/>
                <w:kern w:val="0"/>
                <w:position w:val="0"/>
                <w:szCs w:val="21"/>
              </w:rPr>
              <w:t xml:space="preserve">5.1 </w:t>
            </w:r>
            <w:r>
              <w:rPr>
                <w:bCs/>
                <w:color w:val="000000"/>
                <w:lang w:val="zh-CN"/>
              </w:rPr>
              <w:fldChar w:fldCharType="end"/>
            </w:r>
            <w:r>
              <w:rPr>
                <w:rFonts w:hint="eastAsia"/>
                <w:bCs/>
                <w:color w:val="000000"/>
                <w:lang w:val="zh-CN"/>
              </w:rPr>
              <w:t>概述</w:t>
            </w:r>
          </w:p>
          <w:p>
            <w:pPr>
              <w:pStyle w:val="15"/>
              <w:tabs>
                <w:tab w:val="right" w:leader="dot" w:pos="9354"/>
              </w:tabs>
            </w:pPr>
            <w:r>
              <w:rPr>
                <w:bCs/>
                <w:color w:val="000000"/>
                <w:lang w:val="zh-CN"/>
              </w:rPr>
              <w:fldChar w:fldCharType="begin"/>
            </w:r>
            <w:r>
              <w:rPr>
                <w:bCs/>
                <w:lang w:val="zh-CN"/>
              </w:rPr>
              <w:instrText xml:space="preserve"> HYPERLINK \l _Toc25891 </w:instrText>
            </w:r>
            <w:r>
              <w:rPr>
                <w:bCs/>
                <w:lang w:val="zh-CN"/>
              </w:rPr>
              <w:fldChar w:fldCharType="separate"/>
            </w:r>
            <w:r>
              <w:rPr>
                <w:rFonts w:hint="eastAsia" w:ascii="黑体" w:hAnsi="Times New Roman" w:eastAsia="黑体" w:cs="Times New Roman"/>
                <w:bCs w:val="0"/>
                <w:i w:val="0"/>
                <w:iCs w:val="0"/>
                <w:caps w:val="0"/>
                <w:strike w:val="0"/>
                <w:dstrike w:val="0"/>
                <w:outline w:val="0"/>
                <w:shadow w:val="0"/>
                <w:spacing w:val="0"/>
                <w:kern w:val="0"/>
                <w:position w:val="0"/>
                <w:szCs w:val="21"/>
                <w:lang w:val="en-US" w:eastAsia="zh-CN"/>
              </w:rPr>
              <w:t xml:space="preserve">5.2 </w:t>
            </w:r>
            <w:r>
              <w:rPr>
                <w:rFonts w:hint="eastAsia" w:ascii="Times New Roman" w:cs="Times New Roman"/>
                <w:bCs/>
                <w:szCs w:val="21"/>
                <w:lang w:val="en-US" w:eastAsia="zh-CN"/>
              </w:rPr>
              <w:t>评估范围</w:t>
            </w:r>
            <w:r>
              <w:rPr>
                <w:bCs/>
                <w:color w:val="000000"/>
                <w:lang w:val="zh-CN"/>
              </w:rPr>
              <w:fldChar w:fldCharType="end"/>
            </w:r>
          </w:p>
          <w:p>
            <w:pPr>
              <w:pStyle w:val="15"/>
              <w:tabs>
                <w:tab w:val="right" w:leader="dot" w:pos="9354"/>
              </w:tabs>
            </w:pPr>
            <w:r>
              <w:rPr>
                <w:bCs/>
                <w:color w:val="000000"/>
                <w:lang w:val="zh-CN"/>
              </w:rPr>
              <w:fldChar w:fldCharType="begin"/>
            </w:r>
            <w:r>
              <w:rPr>
                <w:bCs/>
                <w:lang w:val="zh-CN"/>
              </w:rPr>
              <w:instrText xml:space="preserve"> HYPERLINK \l _Toc2942 </w:instrText>
            </w:r>
            <w:r>
              <w:rPr>
                <w:bCs/>
                <w:lang w:val="zh-CN"/>
              </w:rPr>
              <w:fldChar w:fldCharType="separate"/>
            </w:r>
            <w:r>
              <w:rPr>
                <w:rFonts w:hint="eastAsia" w:ascii="黑体" w:hAnsi="Times New Roman" w:eastAsia="黑体" w:cs="Times New Roman"/>
                <w:bCs w:val="0"/>
                <w:i w:val="0"/>
                <w:iCs w:val="0"/>
                <w:caps w:val="0"/>
                <w:strike w:val="0"/>
                <w:dstrike w:val="0"/>
                <w:outline w:val="0"/>
                <w:shadow w:val="0"/>
                <w:spacing w:val="0"/>
                <w:kern w:val="0"/>
                <w:position w:val="0"/>
                <w:szCs w:val="21"/>
                <w:lang w:val="en-US" w:eastAsia="zh-CN"/>
              </w:rPr>
              <w:t xml:space="preserve">5.3 </w:t>
            </w:r>
            <w:r>
              <w:rPr>
                <w:rFonts w:hint="eastAsia" w:ascii="Times New Roman" w:cs="Times New Roman"/>
                <w:bCs/>
                <w:szCs w:val="21"/>
                <w:lang w:val="en-US" w:eastAsia="zh-CN"/>
              </w:rPr>
              <w:t>延寿评估</w:t>
            </w:r>
            <w:r>
              <w:rPr>
                <w:bCs/>
                <w:color w:val="000000"/>
                <w:lang w:val="zh-CN"/>
              </w:rPr>
              <w:fldChar w:fldCharType="end"/>
            </w:r>
          </w:p>
          <w:p>
            <w:pPr>
              <w:pStyle w:val="15"/>
              <w:tabs>
                <w:tab w:val="right" w:leader="dot" w:pos="9354"/>
              </w:tabs>
            </w:pPr>
            <w:r>
              <w:rPr>
                <w:bCs/>
                <w:color w:val="000000"/>
                <w:lang w:val="zh-CN"/>
              </w:rPr>
              <w:fldChar w:fldCharType="begin"/>
            </w:r>
            <w:r>
              <w:rPr>
                <w:bCs/>
                <w:lang w:val="zh-CN"/>
              </w:rPr>
              <w:instrText xml:space="preserve"> HYPERLINK \l _Toc26168 </w:instrText>
            </w:r>
            <w:r>
              <w:rPr>
                <w:bCs/>
                <w:lang w:val="zh-CN"/>
              </w:rPr>
              <w:fldChar w:fldCharType="separate"/>
            </w:r>
            <w:r>
              <w:rPr>
                <w:rFonts w:hint="eastAsia" w:ascii="Times New Roman" w:eastAsia="宋体" w:cs="Times New Roman"/>
                <w:bCs/>
                <w:kern w:val="0"/>
                <w:szCs w:val="21"/>
                <w:lang w:val="en-US" w:eastAsia="zh-CN"/>
              </w:rPr>
              <w:t xml:space="preserve">5.3.1 </w:t>
            </w:r>
            <w:r>
              <w:rPr>
                <w:rFonts w:hint="eastAsia" w:ascii="宋体" w:cs="Times New Roman"/>
                <w:bCs/>
                <w:szCs w:val="21"/>
              </w:rPr>
              <w:t>延寿检查</w:t>
            </w:r>
            <w:r>
              <w:rPr>
                <w:bCs/>
                <w:color w:val="000000"/>
                <w:lang w:val="zh-CN"/>
              </w:rPr>
              <w:fldChar w:fldCharType="end"/>
            </w:r>
            <w:r>
              <w:rPr>
                <w:rFonts w:hint="eastAsia"/>
                <w:bCs/>
                <w:color w:val="000000"/>
                <w:lang w:val="zh-CN"/>
              </w:rPr>
              <w:t>方法</w:t>
            </w:r>
          </w:p>
          <w:p>
            <w:pPr>
              <w:pStyle w:val="15"/>
              <w:tabs>
                <w:tab w:val="right" w:leader="dot" w:pos="9354"/>
              </w:tabs>
            </w:pPr>
            <w:r>
              <w:rPr>
                <w:bCs/>
                <w:color w:val="000000"/>
                <w:lang w:val="zh-CN"/>
              </w:rPr>
              <w:fldChar w:fldCharType="begin"/>
            </w:r>
            <w:r>
              <w:rPr>
                <w:bCs/>
                <w:lang w:val="zh-CN"/>
              </w:rPr>
              <w:instrText xml:space="preserve"> HYPERLINK \l _Toc28000 </w:instrText>
            </w:r>
            <w:r>
              <w:rPr>
                <w:bCs/>
                <w:lang w:val="zh-CN"/>
              </w:rPr>
              <w:fldChar w:fldCharType="separate"/>
            </w:r>
            <w:r>
              <w:rPr>
                <w:rFonts w:hint="eastAsia" w:ascii="宋体" w:cs="Times New Roman"/>
                <w:bCs/>
                <w:szCs w:val="21"/>
                <w:lang w:val="en-US" w:eastAsia="zh-CN"/>
              </w:rPr>
              <w:t>5.3.1.1 延寿检查</w:t>
            </w:r>
            <w:r>
              <w:rPr>
                <w:bCs/>
                <w:color w:val="000000"/>
                <w:lang w:val="zh-CN"/>
              </w:rPr>
              <w:fldChar w:fldCharType="end"/>
            </w:r>
          </w:p>
          <w:p>
            <w:pPr>
              <w:pStyle w:val="15"/>
              <w:tabs>
                <w:tab w:val="right" w:leader="dot" w:pos="9354"/>
              </w:tabs>
            </w:pPr>
            <w:r>
              <w:rPr>
                <w:bCs/>
                <w:color w:val="000000"/>
                <w:lang w:val="zh-CN"/>
              </w:rPr>
              <w:fldChar w:fldCharType="begin"/>
            </w:r>
            <w:r>
              <w:rPr>
                <w:bCs/>
                <w:lang w:val="zh-CN"/>
              </w:rPr>
              <w:instrText xml:space="preserve"> HYPERLINK \l _Toc20434 </w:instrText>
            </w:r>
            <w:r>
              <w:rPr>
                <w:bCs/>
                <w:lang w:val="zh-CN"/>
              </w:rPr>
              <w:fldChar w:fldCharType="separate"/>
            </w:r>
            <w:r>
              <w:rPr>
                <w:rFonts w:hint="eastAsia" w:ascii="宋体" w:cs="Times New Roman"/>
                <w:bCs/>
                <w:szCs w:val="21"/>
                <w:lang w:val="en-US" w:eastAsia="zh-CN"/>
              </w:rPr>
              <w:t xml:space="preserve">5.3.1.2 </w:t>
            </w:r>
            <w:r>
              <w:rPr>
                <w:bCs/>
                <w:color w:val="000000"/>
                <w:lang w:val="zh-CN"/>
              </w:rPr>
              <w:fldChar w:fldCharType="end"/>
            </w:r>
            <w:r>
              <w:rPr>
                <w:rFonts w:hint="eastAsia"/>
                <w:bCs/>
                <w:color w:val="000000"/>
                <w:lang w:val="zh-CN"/>
              </w:rPr>
              <w:t>评估报告</w:t>
            </w:r>
          </w:p>
          <w:p>
            <w:pPr>
              <w:pStyle w:val="15"/>
              <w:tabs>
                <w:tab w:val="right" w:leader="dot" w:pos="9354"/>
              </w:tabs>
            </w:pPr>
            <w:r>
              <w:rPr>
                <w:bCs/>
                <w:color w:val="000000"/>
                <w:lang w:val="zh-CN"/>
              </w:rPr>
              <w:fldChar w:fldCharType="begin"/>
            </w:r>
            <w:r>
              <w:rPr>
                <w:bCs/>
                <w:lang w:val="zh-CN"/>
              </w:rPr>
              <w:instrText xml:space="preserve"> HYPERLINK \l _Toc13264 </w:instrText>
            </w:r>
            <w:r>
              <w:rPr>
                <w:bCs/>
                <w:lang w:val="zh-CN"/>
              </w:rPr>
              <w:fldChar w:fldCharType="separate"/>
            </w:r>
            <w:r>
              <w:rPr>
                <w:rFonts w:hint="eastAsia" w:ascii="宋体" w:cs="Times New Roman"/>
                <w:bCs/>
                <w:szCs w:val="21"/>
                <w:lang w:val="en-US" w:eastAsia="zh-CN"/>
              </w:rPr>
              <w:t>5.3.2 简化评估方法</w:t>
            </w:r>
            <w:r>
              <w:rPr>
                <w:bCs/>
                <w:color w:val="000000"/>
                <w:lang w:val="zh-CN"/>
              </w:rPr>
              <w:fldChar w:fldCharType="end"/>
            </w:r>
          </w:p>
          <w:p>
            <w:pPr>
              <w:pStyle w:val="15"/>
              <w:tabs>
                <w:tab w:val="right" w:leader="dot" w:pos="9354"/>
              </w:tabs>
            </w:pPr>
            <w:r>
              <w:rPr>
                <w:bCs/>
                <w:color w:val="000000"/>
                <w:lang w:val="zh-CN"/>
              </w:rPr>
              <w:fldChar w:fldCharType="begin"/>
            </w:r>
            <w:r>
              <w:rPr>
                <w:bCs/>
                <w:lang w:val="zh-CN"/>
              </w:rPr>
              <w:instrText xml:space="preserve"> HYPERLINK \l _Toc11851 </w:instrText>
            </w:r>
            <w:r>
              <w:rPr>
                <w:bCs/>
                <w:lang w:val="zh-CN"/>
              </w:rPr>
              <w:fldChar w:fldCharType="separate"/>
            </w:r>
            <w:r>
              <w:rPr>
                <w:rFonts w:hint="eastAsia" w:ascii="宋体" w:cs="Times New Roman"/>
                <w:bCs/>
                <w:szCs w:val="21"/>
                <w:lang w:val="en-US" w:eastAsia="zh-CN"/>
              </w:rPr>
              <w:t>5.3.2.1 简化评估方法理论分析</w:t>
            </w:r>
            <w:r>
              <w:rPr>
                <w:bCs/>
                <w:color w:val="000000"/>
                <w:lang w:val="zh-CN"/>
              </w:rPr>
              <w:fldChar w:fldCharType="end"/>
            </w:r>
          </w:p>
          <w:p>
            <w:pPr>
              <w:pStyle w:val="15"/>
              <w:tabs>
                <w:tab w:val="right" w:leader="dot" w:pos="9354"/>
              </w:tabs>
              <w:rPr>
                <w:bCs/>
                <w:color w:val="000000"/>
                <w:lang w:val="zh-CN"/>
              </w:rPr>
            </w:pPr>
            <w:r>
              <w:rPr>
                <w:bCs/>
                <w:color w:val="000000"/>
                <w:lang w:val="zh-CN"/>
              </w:rPr>
              <w:fldChar w:fldCharType="begin"/>
            </w:r>
            <w:r>
              <w:rPr>
                <w:bCs/>
                <w:lang w:val="zh-CN"/>
              </w:rPr>
              <w:instrText xml:space="preserve"> HYPERLINK \l _Toc5172 </w:instrText>
            </w:r>
            <w:r>
              <w:rPr>
                <w:bCs/>
                <w:lang w:val="zh-CN"/>
              </w:rPr>
              <w:fldChar w:fldCharType="separate"/>
            </w:r>
            <w:r>
              <w:rPr>
                <w:rFonts w:hint="eastAsia" w:ascii="宋体" w:cs="Times New Roman"/>
                <w:bCs/>
                <w:szCs w:val="21"/>
                <w:lang w:val="en-US" w:eastAsia="zh-CN"/>
              </w:rPr>
              <w:t>5.3.2.2 简化评估方法延寿检查</w:t>
            </w:r>
            <w:r>
              <w:rPr>
                <w:bCs/>
                <w:color w:val="000000"/>
                <w:lang w:val="zh-CN"/>
              </w:rPr>
              <w:fldChar w:fldCharType="end"/>
            </w:r>
          </w:p>
          <w:p>
            <w:pPr>
              <w:rPr>
                <w:rFonts w:hint="default" w:ascii="Times New Roman" w:hAnsi="Times New Roman" w:eastAsia="宋体" w:cs="Times New Roman"/>
                <w:bCs/>
                <w:color w:val="000000"/>
                <w:kern w:val="2"/>
                <w:sz w:val="21"/>
                <w:szCs w:val="22"/>
                <w:lang w:val="en-US" w:eastAsia="zh-CN" w:bidi="ar-SA"/>
              </w:rPr>
            </w:pPr>
            <w:r>
              <w:rPr>
                <w:rFonts w:hint="eastAsia" w:ascii="宋体" w:hAnsi="宋体" w:eastAsia="宋体" w:cs="宋体"/>
                <w:bCs/>
                <w:color w:val="000000"/>
                <w:kern w:val="2"/>
                <w:sz w:val="21"/>
                <w:szCs w:val="22"/>
                <w:lang w:val="en-US" w:eastAsia="zh-CN" w:bidi="ar-SA"/>
              </w:rPr>
              <w:t xml:space="preserve">5.3.2.3 </w:t>
            </w:r>
            <w:r>
              <w:rPr>
                <w:rFonts w:hint="eastAsia" w:ascii="Times New Roman" w:hAnsi="Times New Roman" w:eastAsia="宋体" w:cs="Times New Roman"/>
                <w:bCs/>
                <w:color w:val="000000"/>
                <w:kern w:val="2"/>
                <w:sz w:val="21"/>
                <w:szCs w:val="22"/>
                <w:lang w:val="en-US" w:eastAsia="zh-CN" w:bidi="ar-SA"/>
              </w:rPr>
              <w:t>评估报告</w:t>
            </w:r>
          </w:p>
          <w:p>
            <w:pPr>
              <w:pStyle w:val="15"/>
              <w:tabs>
                <w:tab w:val="right" w:leader="dot" w:pos="9354"/>
              </w:tabs>
            </w:pPr>
            <w:r>
              <w:rPr>
                <w:bCs/>
                <w:color w:val="000000"/>
                <w:lang w:val="zh-CN"/>
              </w:rPr>
              <w:fldChar w:fldCharType="begin"/>
            </w:r>
            <w:r>
              <w:rPr>
                <w:bCs/>
                <w:lang w:val="zh-CN"/>
              </w:rPr>
              <w:instrText xml:space="preserve"> HYPERLINK \l _Toc22424 </w:instrText>
            </w:r>
            <w:r>
              <w:rPr>
                <w:bCs/>
                <w:lang w:val="zh-CN"/>
              </w:rPr>
              <w:fldChar w:fldCharType="separate"/>
            </w:r>
            <w:r>
              <w:rPr>
                <w:rFonts w:hint="eastAsia" w:ascii="宋体" w:cs="Times New Roman"/>
                <w:bCs/>
                <w:szCs w:val="21"/>
                <w:lang w:val="en-US" w:eastAsia="zh-CN"/>
              </w:rPr>
              <w:t>5.3.3 详细评估方法</w:t>
            </w:r>
            <w:r>
              <w:rPr>
                <w:bCs/>
                <w:color w:val="000000"/>
                <w:lang w:val="zh-CN"/>
              </w:rPr>
              <w:fldChar w:fldCharType="end"/>
            </w:r>
          </w:p>
          <w:p>
            <w:pPr>
              <w:pStyle w:val="15"/>
              <w:tabs>
                <w:tab w:val="right" w:leader="dot" w:pos="9354"/>
              </w:tabs>
            </w:pPr>
            <w:r>
              <w:rPr>
                <w:bCs/>
                <w:color w:val="000000"/>
                <w:lang w:val="zh-CN"/>
              </w:rPr>
              <w:fldChar w:fldCharType="begin"/>
            </w:r>
            <w:r>
              <w:rPr>
                <w:bCs/>
                <w:lang w:val="zh-CN"/>
              </w:rPr>
              <w:instrText xml:space="preserve"> HYPERLINK \l _Toc3717 </w:instrText>
            </w:r>
            <w:r>
              <w:rPr>
                <w:bCs/>
                <w:lang w:val="zh-CN"/>
              </w:rPr>
              <w:fldChar w:fldCharType="separate"/>
            </w:r>
            <w:r>
              <w:rPr>
                <w:rFonts w:hint="eastAsia" w:ascii="宋体" w:cs="Times New Roman"/>
                <w:bCs/>
                <w:szCs w:val="21"/>
                <w:lang w:val="en-US" w:eastAsia="zh-CN"/>
              </w:rPr>
              <w:t>5.3.3.1 详细评估方法理论分析</w:t>
            </w:r>
            <w:r>
              <w:rPr>
                <w:bCs/>
                <w:color w:val="000000"/>
                <w:lang w:val="zh-CN"/>
              </w:rPr>
              <w:fldChar w:fldCharType="end"/>
            </w:r>
          </w:p>
          <w:p>
            <w:pPr>
              <w:pStyle w:val="15"/>
              <w:tabs>
                <w:tab w:val="right" w:leader="dot" w:pos="9354"/>
              </w:tabs>
              <w:rPr>
                <w:bCs/>
                <w:color w:val="000000"/>
                <w:lang w:val="zh-CN"/>
              </w:rPr>
            </w:pPr>
            <w:r>
              <w:rPr>
                <w:bCs/>
                <w:color w:val="000000"/>
                <w:lang w:val="zh-CN"/>
              </w:rPr>
              <w:fldChar w:fldCharType="begin"/>
            </w:r>
            <w:r>
              <w:rPr>
                <w:bCs/>
                <w:lang w:val="zh-CN"/>
              </w:rPr>
              <w:instrText xml:space="preserve"> HYPERLINK \l _Toc1318 </w:instrText>
            </w:r>
            <w:r>
              <w:rPr>
                <w:bCs/>
                <w:lang w:val="zh-CN"/>
              </w:rPr>
              <w:fldChar w:fldCharType="separate"/>
            </w:r>
            <w:r>
              <w:rPr>
                <w:rFonts w:hint="eastAsia" w:ascii="宋体" w:cs="Times New Roman"/>
                <w:bCs/>
                <w:szCs w:val="21"/>
                <w:lang w:val="en-US" w:eastAsia="zh-CN"/>
              </w:rPr>
              <w:t>5.3.3.2 详细评估方法延寿检查</w:t>
            </w:r>
            <w:r>
              <w:rPr>
                <w:bCs/>
                <w:color w:val="000000"/>
                <w:lang w:val="zh-CN"/>
              </w:rPr>
              <w:fldChar w:fldCharType="end"/>
            </w:r>
          </w:p>
          <w:p>
            <w:r>
              <w:rPr>
                <w:rFonts w:hint="eastAsia" w:ascii="宋体" w:hAnsi="宋体" w:eastAsia="宋体" w:cs="宋体"/>
                <w:bCs/>
                <w:color w:val="000000"/>
                <w:kern w:val="2"/>
                <w:sz w:val="21"/>
                <w:szCs w:val="22"/>
                <w:lang w:val="en-US" w:eastAsia="zh-CN" w:bidi="ar-SA"/>
              </w:rPr>
              <w:t xml:space="preserve">5.3.3.3 </w:t>
            </w:r>
            <w:r>
              <w:rPr>
                <w:rFonts w:hint="eastAsia" w:ascii="Times New Roman" w:hAnsi="Times New Roman" w:eastAsia="宋体" w:cs="Times New Roman"/>
                <w:bCs/>
                <w:color w:val="000000"/>
                <w:kern w:val="2"/>
                <w:sz w:val="21"/>
                <w:szCs w:val="22"/>
                <w:lang w:val="en-US" w:eastAsia="zh-CN" w:bidi="ar-SA"/>
              </w:rPr>
              <w:t>评估报告</w:t>
            </w:r>
          </w:p>
          <w:p>
            <w:pPr>
              <w:pStyle w:val="28"/>
              <w:tabs>
                <w:tab w:val="right" w:leader="dot" w:pos="9354"/>
              </w:tabs>
            </w:pPr>
            <w:r>
              <w:rPr>
                <w:bCs/>
                <w:color w:val="000000"/>
                <w:lang w:val="zh-CN"/>
              </w:rPr>
              <w:fldChar w:fldCharType="begin"/>
            </w:r>
            <w:r>
              <w:rPr>
                <w:bCs/>
                <w:lang w:val="zh-CN"/>
              </w:rPr>
              <w:instrText xml:space="preserve"> HYPERLINK \l _Toc13049 </w:instrText>
            </w:r>
            <w:r>
              <w:rPr>
                <w:bCs/>
                <w:lang w:val="zh-CN"/>
              </w:rPr>
              <w:fldChar w:fldCharType="separate"/>
            </w:r>
            <w:r>
              <w:rPr>
                <w:rFonts w:hint="eastAsia" w:ascii="黑体" w:hAnsi="Times New Roman" w:eastAsia="黑体"/>
                <w:i w:val="0"/>
                <w:szCs w:val="21"/>
                <w:lang w:eastAsia="zh-CN"/>
              </w:rPr>
              <w:t xml:space="preserve">6 </w:t>
            </w:r>
            <w:r>
              <w:rPr>
                <w:rFonts w:hint="eastAsia"/>
                <w:szCs w:val="22"/>
                <w:lang w:eastAsia="zh-CN"/>
              </w:rPr>
              <w:t>最终评估</w:t>
            </w:r>
            <w:r>
              <w:rPr>
                <w:bCs/>
                <w:color w:val="000000"/>
                <w:lang w:val="zh-CN"/>
              </w:rPr>
              <w:fldChar w:fldCharType="end"/>
            </w:r>
          </w:p>
          <w:p>
            <w:pPr>
              <w:tabs>
                <w:tab w:val="left" w:pos="1362"/>
              </w:tabs>
              <w:jc w:val="left"/>
              <w:rPr>
                <w:rFonts w:hint="eastAsia" w:ascii="宋体" w:hAnsi="宋体" w:eastAsia="宋体"/>
                <w:color w:val="000000"/>
                <w:szCs w:val="21"/>
                <w:lang w:val="en-US" w:eastAsia="zh-CN"/>
              </w:rPr>
            </w:pPr>
            <w:r>
              <w:rPr>
                <w:rFonts w:hint="eastAsia" w:ascii="宋体" w:hAnsi="宋体"/>
                <w:color w:val="000000"/>
                <w:szCs w:val="21"/>
                <w:lang w:val="en-US" w:eastAsia="zh-CN"/>
              </w:rPr>
              <w:t>7 退役</w:t>
            </w:r>
          </w:p>
          <w:p>
            <w:pPr>
              <w:tabs>
                <w:tab w:val="left" w:pos="1362"/>
              </w:tabs>
              <w:jc w:val="left"/>
              <w:rPr>
                <w:rFonts w:hint="default" w:ascii="宋体" w:hAnsi="宋体"/>
                <w:color w:val="000000"/>
                <w:szCs w:val="21"/>
                <w:lang w:val="en-US" w:eastAsia="zh-CN"/>
              </w:rPr>
            </w:pPr>
          </w:p>
          <w:p>
            <w:pPr>
              <w:tabs>
                <w:tab w:val="left" w:pos="1362"/>
              </w:tabs>
              <w:jc w:val="left"/>
              <w:rPr>
                <w:rFonts w:hint="default" w:ascii="宋体" w:hAnsi="宋体"/>
                <w:color w:val="000000"/>
                <w:szCs w:val="21"/>
                <w:lang w:val="en-US" w:eastAsia="zh-CN"/>
              </w:rPr>
            </w:pPr>
          </w:p>
        </w:tc>
      </w:tr>
    </w:tbl>
    <w:p>
      <w:pPr>
        <w:rPr>
          <w:rFonts w:eastAsia="仿宋_GB2312"/>
          <w:b/>
          <w:color w:val="000000"/>
          <w:kern w:val="0"/>
          <w:sz w:val="32"/>
        </w:rPr>
      </w:pPr>
      <w:r>
        <w:rPr>
          <w:rFonts w:eastAsia="仿宋_GB2312"/>
          <w:b/>
          <w:color w:val="000000"/>
          <w:kern w:val="0"/>
          <w:sz w:val="32"/>
        </w:rPr>
        <w:br w:type="page"/>
      </w:r>
    </w:p>
    <w:tbl>
      <w:tblPr>
        <w:tblpPr w:leftFromText="180" w:rightFromText="180" w:vertAnchor="text" w:horzAnchor="margin" w:tblpXSpec="center" w:tblpY="169"/>
        <w:tblW w:w="9625"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800"/>
        <w:gridCol w:w="6"/>
        <w:gridCol w:w="2753"/>
        <w:gridCol w:w="2415"/>
        <w:gridCol w:w="2651"/>
      </w:tblGrid>
      <w:tr>
        <w:trPr>
          <w:cantSplit/>
          <w:trHeight w:val="490" w:hRule="atLeast"/>
        </w:trPr>
        <w:tc>
          <w:tcPr>
            <w:tcW w:w="9625" w:type="dxa"/>
            <w:gridSpan w:val="5"/>
            <w:tcBorders>
              <w:top w:val="nil"/>
              <w:left w:val="nil"/>
              <w:bottom w:val="nil"/>
              <w:right w:val="nil"/>
            </w:tcBorders>
            <w:vAlign w:val="center"/>
          </w:tcPr>
          <w:p>
            <w:pPr>
              <w:rPr>
                <w:rFonts w:ascii="宋体" w:hAnsi="宋体"/>
                <w:b/>
                <w:color w:val="000000"/>
                <w:szCs w:val="21"/>
              </w:rPr>
            </w:pPr>
            <w:r>
              <w:rPr>
                <w:rFonts w:hint="eastAsia" w:ascii="宋体" w:hAnsi="宋体"/>
                <w:b/>
                <w:color w:val="000000"/>
                <w:szCs w:val="21"/>
              </w:rPr>
              <w:t>5  验证情况（基础类标准除外）</w:t>
            </w:r>
          </w:p>
        </w:tc>
      </w:tr>
      <w:tr>
        <w:trPr>
          <w:cantSplit/>
          <w:trHeight w:val="585" w:hRule="atLeast"/>
        </w:trPr>
        <w:tc>
          <w:tcPr>
            <w:tcW w:w="1800" w:type="dxa"/>
            <w:vMerge w:val="restart"/>
            <w:tcBorders>
              <w:top w:val="single" w:color="auto" w:sz="4" w:space="0"/>
              <w:left w:val="single" w:color="auto" w:sz="4" w:space="0"/>
              <w:right w:val="single" w:color="auto" w:sz="4" w:space="0"/>
            </w:tcBorders>
            <w:vAlign w:val="center"/>
          </w:tcPr>
          <w:p>
            <w:pPr>
              <w:ind w:left="141" w:leftChars="67" w:right="48" w:rightChars="23"/>
              <w:rPr>
                <w:rFonts w:ascii="宋体" w:hAnsi="宋体"/>
                <w:color w:val="000000"/>
                <w:szCs w:val="21"/>
              </w:rPr>
            </w:pPr>
            <w:r>
              <w:rPr>
                <w:rFonts w:ascii="宋体" w:hAnsi="宋体"/>
                <w:color w:val="000000"/>
                <w:szCs w:val="21"/>
              </w:rPr>
              <w:t xml:space="preserve">5.1 </w:t>
            </w:r>
          </w:p>
          <w:p>
            <w:pPr>
              <w:ind w:left="141" w:leftChars="67" w:right="48" w:rightChars="23"/>
              <w:rPr>
                <w:rFonts w:ascii="宋体" w:hAnsi="宋体"/>
                <w:color w:val="000000"/>
                <w:szCs w:val="21"/>
              </w:rPr>
            </w:pPr>
            <w:r>
              <w:rPr>
                <w:rFonts w:ascii="宋体" w:hAnsi="宋体"/>
                <w:color w:val="000000"/>
                <w:szCs w:val="21"/>
              </w:rPr>
              <w:t>验证单位情况</w:t>
            </w:r>
          </w:p>
        </w:tc>
        <w:tc>
          <w:tcPr>
            <w:tcW w:w="2759" w:type="dxa"/>
            <w:gridSpan w:val="2"/>
            <w:tcBorders>
              <w:top w:val="single" w:color="auto" w:sz="4" w:space="0"/>
              <w:left w:val="single" w:color="auto" w:sz="4" w:space="0"/>
              <w:bottom w:val="single" w:color="auto" w:sz="4" w:space="0"/>
              <w:right w:val="single" w:color="auto" w:sz="4" w:space="0"/>
            </w:tcBorders>
            <w:vAlign w:val="center"/>
          </w:tcPr>
          <w:p>
            <w:pPr>
              <w:ind w:left="141" w:leftChars="67" w:right="48" w:rightChars="23"/>
              <w:jc w:val="center"/>
              <w:rPr>
                <w:rFonts w:ascii="宋体" w:hAnsi="宋体"/>
                <w:color w:val="000000"/>
                <w:szCs w:val="21"/>
              </w:rPr>
            </w:pPr>
            <w:r>
              <w:rPr>
                <w:rFonts w:ascii="宋体" w:hAnsi="宋体"/>
                <w:color w:val="000000"/>
                <w:szCs w:val="21"/>
              </w:rPr>
              <w:t>验证单位</w:t>
            </w:r>
          </w:p>
        </w:tc>
        <w:tc>
          <w:tcPr>
            <w:tcW w:w="24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验证人员</w:t>
            </w:r>
          </w:p>
        </w:tc>
        <w:tc>
          <w:tcPr>
            <w:tcW w:w="26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验证时间</w:t>
            </w:r>
          </w:p>
        </w:tc>
      </w:tr>
      <w:tr>
        <w:trPr>
          <w:cantSplit/>
          <w:trHeight w:val="435" w:hRule="atLeast"/>
        </w:trPr>
        <w:tc>
          <w:tcPr>
            <w:tcW w:w="1800" w:type="dxa"/>
            <w:vMerge w:val="continue"/>
            <w:tcBorders>
              <w:left w:val="single" w:color="auto" w:sz="4" w:space="0"/>
              <w:right w:val="single" w:color="auto" w:sz="4" w:space="0"/>
            </w:tcBorders>
            <w:vAlign w:val="center"/>
          </w:tcPr>
          <w:p>
            <w:pPr>
              <w:ind w:left="141" w:leftChars="67" w:right="48" w:rightChars="23"/>
              <w:jc w:val="center"/>
              <w:rPr>
                <w:rFonts w:ascii="宋体" w:hAnsi="宋体"/>
                <w:color w:val="000000"/>
                <w:szCs w:val="21"/>
              </w:rPr>
            </w:pPr>
          </w:p>
        </w:tc>
        <w:tc>
          <w:tcPr>
            <w:tcW w:w="2759" w:type="dxa"/>
            <w:gridSpan w:val="2"/>
            <w:tcBorders>
              <w:top w:val="single" w:color="auto" w:sz="4" w:space="0"/>
              <w:left w:val="single" w:color="auto" w:sz="4" w:space="0"/>
              <w:bottom w:val="single" w:color="auto" w:sz="4" w:space="0"/>
              <w:right w:val="single" w:color="auto" w:sz="4" w:space="0"/>
            </w:tcBorders>
            <w:vAlign w:val="center"/>
          </w:tcPr>
          <w:p>
            <w:pPr>
              <w:ind w:left="141" w:leftChars="67" w:right="48" w:rightChars="23"/>
              <w:jc w:val="center"/>
              <w:rPr>
                <w:rFonts w:hint="eastAsia" w:ascii="宋体" w:hAnsi="宋体"/>
                <w:color w:val="000000"/>
                <w:szCs w:val="21"/>
                <w:lang w:eastAsia="zh-CN"/>
              </w:rPr>
            </w:pPr>
            <w:r>
              <w:rPr>
                <w:rFonts w:hint="eastAsia" w:ascii="宋体" w:hAnsi="宋体"/>
                <w:color w:val="000000"/>
                <w:szCs w:val="21"/>
                <w:lang w:eastAsia="zh-CN"/>
              </w:rPr>
              <w:t>内蒙古华电新能源分公司</w:t>
            </w:r>
          </w:p>
          <w:p>
            <w:pPr>
              <w:ind w:left="141" w:leftChars="67" w:right="48" w:rightChars="23"/>
              <w:jc w:val="center"/>
              <w:rPr>
                <w:rFonts w:hint="default" w:ascii="宋体" w:hAnsi="宋体"/>
                <w:color w:val="000000"/>
                <w:szCs w:val="21"/>
                <w:lang w:val="en-US" w:eastAsia="zh-CN"/>
              </w:rPr>
            </w:pPr>
            <w:r>
              <w:rPr>
                <w:rFonts w:hint="eastAsia" w:ascii="宋体" w:hAnsi="宋体"/>
                <w:color w:val="000000"/>
                <w:szCs w:val="21"/>
                <w:lang w:eastAsia="zh-CN"/>
              </w:rPr>
              <w:t>（地址：呼和浩特）</w:t>
            </w:r>
          </w:p>
        </w:tc>
        <w:tc>
          <w:tcPr>
            <w:tcW w:w="24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olor w:val="000000"/>
                <w:szCs w:val="21"/>
                <w:lang w:eastAsia="zh-CN"/>
              </w:rPr>
            </w:pPr>
            <w:r>
              <w:rPr>
                <w:rFonts w:hint="eastAsia" w:ascii="宋体" w:hAnsi="宋体"/>
                <w:color w:val="000000"/>
                <w:szCs w:val="21"/>
                <w:lang w:eastAsia="zh-CN"/>
              </w:rPr>
              <w:t>石振勤、田力勇、萨仁娜</w:t>
            </w:r>
          </w:p>
        </w:tc>
        <w:tc>
          <w:tcPr>
            <w:tcW w:w="2651" w:type="dxa"/>
            <w:tcBorders>
              <w:top w:val="single" w:color="auto" w:sz="4" w:space="0"/>
              <w:left w:val="single" w:color="auto" w:sz="4" w:space="0"/>
              <w:bottom w:val="single" w:color="auto" w:sz="4" w:space="0"/>
              <w:right w:val="single" w:color="auto" w:sz="4" w:space="0"/>
            </w:tcBorders>
            <w:vAlign w:val="center"/>
          </w:tcPr>
          <w:p>
            <w:pPr>
              <w:wordWrap w:val="0"/>
              <w:jc w:val="right"/>
              <w:rPr>
                <w:rFonts w:ascii="宋体" w:hAnsi="宋体"/>
                <w:color w:val="000000"/>
                <w:szCs w:val="21"/>
              </w:rPr>
            </w:pPr>
            <w:r>
              <w:rPr>
                <w:rFonts w:hint="eastAsia" w:ascii="宋体" w:hAnsi="宋体"/>
                <w:color w:val="000000"/>
                <w:szCs w:val="21"/>
                <w:lang w:val="en-US" w:eastAsia="zh-CN"/>
              </w:rPr>
              <w:t>2018</w:t>
            </w:r>
            <w:r>
              <w:rPr>
                <w:rFonts w:ascii="宋体" w:hAnsi="宋体"/>
                <w:color w:val="000000"/>
                <w:szCs w:val="21"/>
              </w:rPr>
              <w:t>年</w:t>
            </w:r>
            <w:r>
              <w:rPr>
                <w:rFonts w:hint="eastAsia" w:ascii="宋体" w:hAnsi="宋体"/>
                <w:color w:val="000000"/>
                <w:szCs w:val="21"/>
                <w:lang w:val="en-US" w:eastAsia="zh-CN"/>
              </w:rPr>
              <w:t>8</w:t>
            </w:r>
            <w:r>
              <w:rPr>
                <w:rFonts w:ascii="宋体" w:hAnsi="宋体"/>
                <w:color w:val="000000"/>
                <w:szCs w:val="21"/>
              </w:rPr>
              <w:t>月</w:t>
            </w:r>
            <w:r>
              <w:rPr>
                <w:rFonts w:hint="eastAsia" w:ascii="宋体" w:hAnsi="宋体"/>
                <w:color w:val="000000"/>
                <w:szCs w:val="21"/>
                <w:lang w:eastAsia="zh-CN"/>
              </w:rPr>
              <w:t>至</w:t>
            </w:r>
            <w:r>
              <w:rPr>
                <w:rFonts w:hint="eastAsia" w:ascii="宋体" w:hAnsi="宋体"/>
                <w:color w:val="000000"/>
                <w:szCs w:val="21"/>
                <w:lang w:val="en-US" w:eastAsia="zh-CN"/>
              </w:rPr>
              <w:t>2019年02月</w:t>
            </w:r>
            <w:r>
              <w:rPr>
                <w:rFonts w:ascii="宋体" w:hAnsi="宋体"/>
                <w:color w:val="000000"/>
                <w:szCs w:val="21"/>
              </w:rPr>
              <w:t xml:space="preserve">  </w:t>
            </w:r>
          </w:p>
        </w:tc>
      </w:tr>
      <w:tr>
        <w:trPr>
          <w:cantSplit/>
          <w:trHeight w:val="435" w:hRule="atLeast"/>
        </w:trPr>
        <w:tc>
          <w:tcPr>
            <w:tcW w:w="1800" w:type="dxa"/>
            <w:vMerge w:val="continue"/>
            <w:tcBorders>
              <w:left w:val="single" w:color="auto" w:sz="4" w:space="0"/>
              <w:right w:val="single" w:color="auto" w:sz="4" w:space="0"/>
            </w:tcBorders>
            <w:vAlign w:val="center"/>
          </w:tcPr>
          <w:p>
            <w:pPr>
              <w:ind w:left="141" w:leftChars="67" w:right="48" w:rightChars="23"/>
              <w:jc w:val="center"/>
              <w:rPr>
                <w:rFonts w:ascii="宋体" w:hAnsi="宋体"/>
                <w:color w:val="000000"/>
                <w:szCs w:val="21"/>
              </w:rPr>
            </w:pPr>
          </w:p>
        </w:tc>
        <w:tc>
          <w:tcPr>
            <w:tcW w:w="2759" w:type="dxa"/>
            <w:gridSpan w:val="2"/>
            <w:tcBorders>
              <w:top w:val="single" w:color="auto" w:sz="4" w:space="0"/>
              <w:left w:val="single" w:color="auto" w:sz="4" w:space="0"/>
              <w:bottom w:val="single" w:color="auto" w:sz="4" w:space="0"/>
              <w:right w:val="single" w:color="auto" w:sz="4" w:space="0"/>
            </w:tcBorders>
            <w:vAlign w:val="center"/>
          </w:tcPr>
          <w:p>
            <w:pPr>
              <w:ind w:left="141" w:leftChars="67" w:right="48" w:rightChars="23"/>
              <w:jc w:val="center"/>
              <w:rPr>
                <w:rFonts w:ascii="宋体" w:hAnsi="宋体"/>
                <w:color w:val="000000"/>
                <w:szCs w:val="21"/>
              </w:rPr>
            </w:pPr>
          </w:p>
        </w:tc>
        <w:tc>
          <w:tcPr>
            <w:tcW w:w="24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p>
        </w:tc>
        <w:tc>
          <w:tcPr>
            <w:tcW w:w="2651" w:type="dxa"/>
            <w:tcBorders>
              <w:top w:val="single" w:color="auto" w:sz="4" w:space="0"/>
              <w:left w:val="single" w:color="auto" w:sz="4" w:space="0"/>
              <w:bottom w:val="single" w:color="auto" w:sz="4" w:space="0"/>
              <w:right w:val="single" w:color="auto" w:sz="4" w:space="0"/>
            </w:tcBorders>
            <w:vAlign w:val="top"/>
          </w:tcPr>
          <w:p>
            <w:pPr>
              <w:jc w:val="right"/>
              <w:rPr>
                <w:rFonts w:ascii="宋体" w:hAnsi="宋体"/>
                <w:color w:val="000000"/>
                <w:szCs w:val="21"/>
              </w:rPr>
            </w:pPr>
            <w:r>
              <w:rPr>
                <w:rFonts w:ascii="宋体" w:hAnsi="宋体"/>
                <w:color w:val="000000"/>
                <w:szCs w:val="21"/>
              </w:rPr>
              <w:t>年    月   日</w:t>
            </w:r>
          </w:p>
        </w:tc>
      </w:tr>
      <w:tr>
        <w:trPr>
          <w:cantSplit/>
          <w:trHeight w:val="1776" w:hRule="atLeast"/>
        </w:trPr>
        <w:tc>
          <w:tcPr>
            <w:tcW w:w="1806" w:type="dxa"/>
            <w:gridSpan w:val="2"/>
            <w:tcBorders>
              <w:top w:val="single" w:color="auto" w:sz="4" w:space="0"/>
              <w:left w:val="single" w:color="auto" w:sz="4" w:space="0"/>
              <w:bottom w:val="single" w:color="auto" w:sz="4" w:space="0"/>
              <w:right w:val="single" w:color="auto" w:sz="4" w:space="0"/>
            </w:tcBorders>
            <w:vAlign w:val="center"/>
          </w:tcPr>
          <w:p>
            <w:pPr>
              <w:ind w:left="141" w:leftChars="67" w:right="48" w:rightChars="23"/>
              <w:rPr>
                <w:rFonts w:ascii="宋体" w:hAnsi="宋体"/>
                <w:color w:val="000000"/>
                <w:szCs w:val="21"/>
              </w:rPr>
            </w:pPr>
            <w:r>
              <w:rPr>
                <w:rFonts w:ascii="宋体" w:hAnsi="宋体"/>
                <w:color w:val="000000"/>
                <w:szCs w:val="21"/>
              </w:rPr>
              <w:t>5.2 验证</w:t>
            </w:r>
            <w:r>
              <w:rPr>
                <w:rFonts w:hint="eastAsia" w:ascii="宋体" w:hAnsi="宋体"/>
                <w:color w:val="000000"/>
                <w:szCs w:val="21"/>
              </w:rPr>
              <w:t>、试行</w:t>
            </w:r>
            <w:r>
              <w:rPr>
                <w:rFonts w:ascii="宋体" w:hAnsi="宋体"/>
                <w:color w:val="000000"/>
                <w:szCs w:val="21"/>
              </w:rPr>
              <w:t>过程</w:t>
            </w:r>
          </w:p>
        </w:tc>
        <w:tc>
          <w:tcPr>
            <w:tcW w:w="7819" w:type="dxa"/>
            <w:gridSpan w:val="3"/>
            <w:tcBorders>
              <w:top w:val="single" w:color="auto" w:sz="4" w:space="0"/>
              <w:left w:val="single" w:color="auto" w:sz="4" w:space="0"/>
              <w:bottom w:val="single" w:color="auto" w:sz="4" w:space="0"/>
              <w:right w:val="single" w:color="auto" w:sz="4" w:space="0"/>
            </w:tcBorders>
            <w:vAlign w:val="center"/>
          </w:tcPr>
          <w:p>
            <w:pPr>
              <w:pStyle w:val="112"/>
              <w:widowControl w:val="0"/>
              <w:tabs>
                <w:tab w:val="center" w:pos="4201"/>
                <w:tab w:val="right" w:leader="dot" w:pos="9298"/>
              </w:tabs>
              <w:wordWrap/>
              <w:snapToGrid w:val="0"/>
              <w:spacing w:line="360" w:lineRule="auto"/>
              <w:ind w:firstLine="420" w:firstLineChars="200"/>
              <w:textAlignment w:val="auto"/>
              <w:rPr>
                <w:rFonts w:hint="eastAsia" w:ascii="宋体" w:hAnsi="Times New Roman" w:eastAsia="宋体" w:cs="Times New Roman"/>
                <w:sz w:val="21"/>
                <w:szCs w:val="21"/>
                <w:lang w:val="en-US" w:eastAsia="zh-CN"/>
              </w:rPr>
            </w:pPr>
            <w:r>
              <w:rPr>
                <w:rFonts w:hint="eastAsia" w:ascii="宋体" w:cs="Times New Roman"/>
                <w:sz w:val="21"/>
                <w:szCs w:val="21"/>
                <w:lang w:val="en-US" w:eastAsia="zh-CN"/>
              </w:rPr>
              <w:t>延寿评估的最大技术难点在于对风电机组载荷的准确测量，即根据最新标准要求与最新测量技术对机组实际承受的载荷进行测量，如能获得机组的实际载荷，则进一步可对风电机组的结构完整性进行分析，这将极大的提高延寿评估的准确性。</w:t>
            </w:r>
          </w:p>
          <w:p>
            <w:pPr>
              <w:pStyle w:val="112"/>
              <w:widowControl w:val="0"/>
              <w:tabs>
                <w:tab w:val="center" w:pos="4201"/>
                <w:tab w:val="right" w:leader="dot" w:pos="9298"/>
              </w:tabs>
              <w:wordWrap/>
              <w:snapToGrid w:val="0"/>
              <w:spacing w:line="360" w:lineRule="auto"/>
              <w:ind w:firstLine="420" w:firstLineChars="200"/>
              <w:textAlignment w:val="auto"/>
              <w:rPr>
                <w:rFonts w:hint="eastAsia" w:ascii="宋体" w:cs="Times New Roman"/>
                <w:sz w:val="21"/>
                <w:szCs w:val="21"/>
                <w:lang w:val="en-US" w:eastAsia="zh-CN"/>
              </w:rPr>
            </w:pPr>
            <w:r>
              <w:rPr>
                <w:rFonts w:hint="eastAsia" w:ascii="宋体" w:hAnsi="Times New Roman" w:eastAsia="宋体" w:cs="Times New Roman"/>
                <w:sz w:val="21"/>
                <w:szCs w:val="21"/>
                <w:lang w:val="en-US" w:eastAsia="zh-CN"/>
              </w:rPr>
              <w:t>标准编制组</w:t>
            </w:r>
            <w:r>
              <w:rPr>
                <w:rFonts w:hint="eastAsia" w:ascii="宋体" w:cs="Times New Roman"/>
                <w:sz w:val="21"/>
                <w:szCs w:val="21"/>
                <w:lang w:val="en-US" w:eastAsia="zh-CN"/>
              </w:rPr>
              <w:t>与一业主单位进行了联系与协调，对一台2.5MW机组载荷进行实际测量，获取了该机组在不同风速下各关键部位的实际载荷情况，同时获取了该风电机组的运行特性、识别出故障隐患，为该类型的延寿评估提供了有力支撑。</w:t>
            </w:r>
          </w:p>
          <w:p>
            <w:pPr>
              <w:rPr>
                <w:rFonts w:hint="eastAsia" w:ascii="宋体" w:hAnsi="Times New Roman" w:eastAsia="宋体" w:cs="Times New Roman"/>
                <w:bCs/>
                <w:kern w:val="2"/>
                <w:sz w:val="21"/>
                <w:szCs w:val="21"/>
                <w:lang w:val="en-US" w:eastAsia="zh-CN" w:bidi="ar-SA"/>
              </w:rPr>
            </w:pPr>
          </w:p>
        </w:tc>
      </w:tr>
      <w:tr>
        <w:trPr>
          <w:cantSplit/>
          <w:trHeight w:val="90" w:hRule="atLeast"/>
        </w:trPr>
        <w:tc>
          <w:tcPr>
            <w:tcW w:w="1806" w:type="dxa"/>
            <w:gridSpan w:val="2"/>
            <w:tcBorders>
              <w:top w:val="single" w:color="auto" w:sz="4" w:space="0"/>
              <w:left w:val="single" w:color="auto" w:sz="4" w:space="0"/>
              <w:bottom w:val="single" w:color="auto" w:sz="4" w:space="0"/>
              <w:right w:val="single" w:color="auto" w:sz="4" w:space="0"/>
            </w:tcBorders>
            <w:vAlign w:val="center"/>
          </w:tcPr>
          <w:p>
            <w:pPr>
              <w:ind w:left="141" w:leftChars="67" w:right="48" w:rightChars="23"/>
              <w:rPr>
                <w:rFonts w:ascii="宋体" w:hAnsi="宋体"/>
                <w:color w:val="000000"/>
                <w:szCs w:val="21"/>
              </w:rPr>
            </w:pPr>
            <w:r>
              <w:rPr>
                <w:rFonts w:ascii="宋体" w:hAnsi="宋体"/>
                <w:color w:val="000000"/>
                <w:szCs w:val="21"/>
              </w:rPr>
              <w:t>5.3 验证数据分析</w:t>
            </w:r>
          </w:p>
        </w:tc>
        <w:tc>
          <w:tcPr>
            <w:tcW w:w="7819"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jc w:val="both"/>
            </w:pPr>
            <w:r>
              <w:rPr>
                <w:rFonts w:hint="eastAsia" w:ascii="宋体" w:hAnsi="宋体"/>
                <w:color w:val="000000"/>
                <w:szCs w:val="21"/>
                <w:lang w:eastAsia="zh-CN"/>
              </w:rPr>
              <w:t>验证数据：</w:t>
            </w:r>
          </w:p>
          <w:p>
            <w:pPr>
              <w:spacing w:line="360" w:lineRule="auto"/>
              <w:jc w:val="center"/>
            </w:pPr>
            <w:r>
              <w:rPr>
                <w:rFonts w:ascii="Times New Roman" w:hAnsi="Times New Roman" w:eastAsia="宋体" w:cs="Times New Roman"/>
                <w:kern w:val="2"/>
                <w:sz w:val="21"/>
                <w:lang w:val="en-US" w:eastAsia="zh-CN" w:bidi="ar-SA"/>
              </w:rPr>
              <w:pict>
                <v:shape id="图片框 1025" o:spid="_x0000_s1025" type="#_x0000_t75" style="height:274.5pt;width:238.8pt;rotation:0f;" o:ole="f" fillcolor="#FFFFFF" filled="f" o:preferrelative="t" stroked="f" coordorigin="0,0" coordsize="21600,21600">
                  <v:fill on="f" color2="#FFFFFF" focus="0%"/>
                  <v:imagedata gain="65536f" blacklevel="0f" gamma="0" o:title="" r:id="rId8"/>
                  <o:lock v:ext="edit" position="f" selection="f" grouping="f" rotation="f" cropping="f" text="f" aspectratio="t"/>
                  <w10:wrap type="none"/>
                  <w10:anchorlock/>
                </v:shape>
              </w:pict>
            </w:r>
          </w:p>
          <w:p>
            <w:pPr>
              <w:spacing w:line="360" w:lineRule="auto"/>
              <w:ind w:firstLine="1680" w:firstLineChars="800"/>
              <w:jc w:val="both"/>
              <w:rPr>
                <w:rFonts w:hint="eastAsia"/>
                <w:szCs w:val="22"/>
                <w:lang w:eastAsia="zh-CN"/>
              </w:rPr>
            </w:pPr>
            <w:r>
              <w:rPr>
                <w:rFonts w:hint="eastAsia"/>
                <w:szCs w:val="22"/>
                <w:lang w:eastAsia="zh-CN"/>
              </w:rPr>
              <w:t>图</w:t>
            </w:r>
            <w:r>
              <w:rPr>
                <w:rFonts w:hint="eastAsia"/>
                <w:szCs w:val="22"/>
                <w:lang w:val="en-US" w:eastAsia="zh-CN"/>
              </w:rPr>
              <w:t xml:space="preserve">1 </w:t>
            </w:r>
            <w:r>
              <w:rPr>
                <w:rFonts w:hint="eastAsia"/>
                <w:szCs w:val="22"/>
                <w:lang w:eastAsia="zh-CN"/>
              </w:rPr>
              <w:t xml:space="preserve"> 9.1 m/s风速下的风机主要载荷通道的时序图</w:t>
            </w:r>
          </w:p>
          <w:p>
            <w:pPr>
              <w:spacing w:line="360" w:lineRule="auto"/>
              <w:ind w:firstLine="1050" w:firstLineChars="500"/>
              <w:jc w:val="both"/>
              <w:rPr>
                <w:rFonts w:hint="eastAsia"/>
                <w:szCs w:val="22"/>
                <w:lang w:eastAsia="zh-CN"/>
              </w:rPr>
            </w:pPr>
            <w:r>
              <w:rPr>
                <w:rFonts w:ascii="Times New Roman" w:hAnsi="Times New Roman" w:eastAsia="宋体" w:cs="Times New Roman"/>
                <w:kern w:val="2"/>
                <w:sz w:val="21"/>
                <w:lang w:val="en-US" w:eastAsia="zh-CN" w:bidi="ar-SA"/>
              </w:rPr>
              <w:pict>
                <v:shape id="图片框 1026" o:spid="_x0000_s1026" type="#_x0000_t75" style="height:266.25pt;width:254pt;rotation:0f;" o:ole="f" fillcolor="#FFFFFF" filled="f" o:preferrelative="t" stroked="f" coordorigin="0,0" coordsize="21600,21600">
                  <v:fill on="f" color2="#FFFFFF" focus="0%"/>
                  <v:imagedata gain="65536f" blacklevel="0f" gamma="0" o:title="" r:id="rId9"/>
                  <o:lock v:ext="edit" position="f" selection="f" grouping="f" rotation="f" cropping="f" text="f" aspectratio="t"/>
                  <w10:wrap type="none"/>
                  <w10:anchorlock/>
                </v:shape>
              </w:pict>
            </w:r>
          </w:p>
          <w:p>
            <w:pPr>
              <w:spacing w:line="360" w:lineRule="auto"/>
              <w:ind w:firstLine="1260" w:firstLineChars="600"/>
              <w:jc w:val="both"/>
              <w:rPr>
                <w:rFonts w:hint="eastAsia"/>
                <w:szCs w:val="22"/>
                <w:lang w:eastAsia="zh-CN"/>
              </w:rPr>
            </w:pPr>
            <w:r>
              <w:rPr>
                <w:rFonts w:hint="eastAsia"/>
                <w:szCs w:val="22"/>
                <w:lang w:eastAsia="zh-CN"/>
              </w:rPr>
              <w:t>图2 叶片1叶根摆振弯矩的10分钟统计结果</w:t>
            </w:r>
          </w:p>
          <w:p>
            <w:pPr>
              <w:spacing w:line="360" w:lineRule="auto"/>
              <w:jc w:val="both"/>
              <w:rPr>
                <w:rFonts w:hint="default"/>
                <w:szCs w:val="22"/>
                <w:lang w:val="en-US" w:eastAsia="zh-CN"/>
              </w:rPr>
            </w:pPr>
            <w:r>
              <w:rPr>
                <w:rFonts w:hint="eastAsia"/>
                <w:szCs w:val="22"/>
                <w:lang w:val="en-US" w:eastAsia="zh-CN"/>
              </w:rPr>
              <w:t xml:space="preserve">     </w:t>
            </w:r>
          </w:p>
          <w:p>
            <w:pPr>
              <w:spacing w:line="360" w:lineRule="auto"/>
              <w:ind w:firstLine="1050" w:firstLineChars="500"/>
              <w:jc w:val="both"/>
              <w:rPr>
                <w:rFonts w:hint="eastAsia"/>
                <w:szCs w:val="22"/>
                <w:lang w:eastAsia="zh-CN"/>
              </w:rPr>
            </w:pPr>
          </w:p>
          <w:p>
            <w:pPr>
              <w:spacing w:line="360" w:lineRule="auto"/>
              <w:ind w:firstLine="1050" w:firstLineChars="500"/>
              <w:jc w:val="both"/>
              <w:rPr>
                <w:rFonts w:hint="eastAsia"/>
                <w:szCs w:val="22"/>
                <w:lang w:eastAsia="zh-CN"/>
              </w:rPr>
            </w:pPr>
          </w:p>
          <w:p>
            <w:pPr>
              <w:spacing w:line="360" w:lineRule="auto"/>
              <w:ind w:firstLine="1050" w:firstLineChars="500"/>
              <w:jc w:val="both"/>
              <w:rPr>
                <w:rFonts w:hint="eastAsia"/>
                <w:szCs w:val="22"/>
                <w:lang w:eastAsia="zh-CN"/>
              </w:rPr>
            </w:pPr>
          </w:p>
          <w:p>
            <w:pPr>
              <w:spacing w:line="360" w:lineRule="auto"/>
              <w:ind w:firstLine="1050" w:firstLineChars="500"/>
              <w:jc w:val="both"/>
              <w:rPr>
                <w:rFonts w:hint="eastAsia"/>
                <w:szCs w:val="22"/>
                <w:lang w:eastAsia="zh-CN"/>
              </w:rPr>
            </w:pPr>
          </w:p>
          <w:p>
            <w:pPr>
              <w:spacing w:line="360" w:lineRule="auto"/>
              <w:ind w:firstLine="1050" w:firstLineChars="500"/>
              <w:jc w:val="both"/>
              <w:rPr>
                <w:rFonts w:hint="eastAsia"/>
                <w:szCs w:val="22"/>
                <w:lang w:eastAsia="zh-CN"/>
              </w:rPr>
            </w:pPr>
          </w:p>
          <w:p>
            <w:pPr>
              <w:spacing w:line="360" w:lineRule="auto"/>
              <w:ind w:firstLine="1050" w:firstLineChars="500"/>
              <w:jc w:val="both"/>
              <w:rPr>
                <w:rFonts w:hint="eastAsia"/>
                <w:szCs w:val="22"/>
                <w:lang w:eastAsia="zh-CN"/>
              </w:rPr>
            </w:pPr>
          </w:p>
          <w:p>
            <w:pPr>
              <w:spacing w:line="360" w:lineRule="auto"/>
              <w:ind w:firstLine="1050" w:firstLineChars="500"/>
              <w:jc w:val="both"/>
              <w:rPr>
                <w:rFonts w:hint="eastAsia"/>
                <w:szCs w:val="22"/>
                <w:lang w:eastAsia="zh-CN"/>
              </w:rPr>
            </w:pPr>
          </w:p>
          <w:p>
            <w:pPr>
              <w:spacing w:line="360" w:lineRule="auto"/>
              <w:ind w:firstLine="1050" w:firstLineChars="500"/>
              <w:jc w:val="both"/>
              <w:rPr>
                <w:rFonts w:hint="eastAsia"/>
                <w:szCs w:val="22"/>
                <w:lang w:eastAsia="zh-CN"/>
              </w:rPr>
            </w:pPr>
          </w:p>
          <w:p>
            <w:pPr>
              <w:spacing w:line="360" w:lineRule="auto"/>
              <w:ind w:firstLine="1050" w:firstLineChars="500"/>
              <w:jc w:val="both"/>
              <w:rPr>
                <w:rFonts w:hint="eastAsia"/>
                <w:szCs w:val="22"/>
                <w:lang w:eastAsia="zh-CN"/>
              </w:rPr>
            </w:pPr>
          </w:p>
          <w:p>
            <w:pPr>
              <w:spacing w:line="360" w:lineRule="auto"/>
              <w:ind w:firstLine="1050" w:firstLineChars="500"/>
              <w:jc w:val="both"/>
              <w:rPr>
                <w:rFonts w:hint="eastAsia"/>
                <w:szCs w:val="22"/>
                <w:lang w:eastAsia="zh-CN"/>
              </w:rPr>
            </w:pPr>
          </w:p>
          <w:p>
            <w:pPr>
              <w:spacing w:line="360" w:lineRule="auto"/>
              <w:jc w:val="both"/>
              <w:rPr>
                <w:rFonts w:hint="eastAsia" w:eastAsia="宋体"/>
                <w:lang w:eastAsia="zh-CN"/>
              </w:rPr>
            </w:pPr>
          </w:p>
        </w:tc>
      </w:tr>
      <w:tr>
        <w:trPr>
          <w:cantSplit/>
          <w:trHeight w:val="1516" w:hRule="atLeast"/>
        </w:trPr>
        <w:tc>
          <w:tcPr>
            <w:tcW w:w="1806" w:type="dxa"/>
            <w:gridSpan w:val="2"/>
            <w:tcBorders>
              <w:top w:val="single" w:color="auto" w:sz="4" w:space="0"/>
              <w:left w:val="single" w:color="auto" w:sz="4" w:space="0"/>
              <w:bottom w:val="single" w:color="auto" w:sz="4" w:space="0"/>
              <w:right w:val="single" w:color="auto" w:sz="4" w:space="0"/>
            </w:tcBorders>
            <w:vAlign w:val="center"/>
          </w:tcPr>
          <w:p>
            <w:pPr>
              <w:ind w:left="141" w:leftChars="67" w:right="48" w:rightChars="23"/>
              <w:rPr>
                <w:rFonts w:ascii="宋体" w:hAnsi="宋体"/>
                <w:color w:val="000000"/>
                <w:szCs w:val="21"/>
              </w:rPr>
            </w:pPr>
            <w:r>
              <w:rPr>
                <w:rFonts w:ascii="宋体" w:hAnsi="宋体"/>
                <w:color w:val="000000"/>
                <w:szCs w:val="21"/>
              </w:rPr>
              <w:t>5.4 验证</w:t>
            </w:r>
            <w:r>
              <w:rPr>
                <w:rFonts w:hint="eastAsia" w:ascii="宋体" w:hAnsi="宋体"/>
                <w:color w:val="000000"/>
                <w:szCs w:val="21"/>
              </w:rPr>
              <w:t>、试行</w:t>
            </w:r>
            <w:r>
              <w:rPr>
                <w:rFonts w:ascii="宋体" w:hAnsi="宋体"/>
                <w:color w:val="000000"/>
                <w:szCs w:val="21"/>
              </w:rPr>
              <w:t>评价</w:t>
            </w:r>
          </w:p>
        </w:tc>
        <w:tc>
          <w:tcPr>
            <w:tcW w:w="7819" w:type="dxa"/>
            <w:gridSpan w:val="3"/>
            <w:tcBorders>
              <w:top w:val="single" w:color="auto" w:sz="4" w:space="0"/>
              <w:left w:val="single" w:color="auto" w:sz="4" w:space="0"/>
              <w:bottom w:val="single" w:color="auto" w:sz="4" w:space="0"/>
              <w:right w:val="single" w:color="auto" w:sz="4" w:space="0"/>
            </w:tcBorders>
            <w:vAlign w:val="center"/>
          </w:tcPr>
          <w:p>
            <w:pPr>
              <w:rPr>
                <w:rFonts w:hint="eastAsia"/>
                <w:szCs w:val="22"/>
                <w:lang w:val="en-US" w:eastAsia="zh-CN"/>
              </w:rPr>
            </w:pPr>
            <w:r>
              <w:rPr>
                <w:rFonts w:hint="eastAsia"/>
                <w:szCs w:val="22"/>
                <w:lang w:val="en-US" w:eastAsia="zh-CN"/>
              </w:rPr>
              <w:t>1、根据实测载荷可更为准确地进行风电机组结构完整性分析，从而较为准确地计算机组可延长服役时间！</w:t>
            </w:r>
          </w:p>
          <w:p>
            <w:pPr>
              <w:rPr>
                <w:rFonts w:hint="eastAsia"/>
                <w:szCs w:val="22"/>
                <w:lang w:val="en-US" w:eastAsia="zh-CN"/>
              </w:rPr>
            </w:pPr>
            <w:r>
              <w:rPr>
                <w:rFonts w:hint="eastAsia"/>
                <w:szCs w:val="22"/>
                <w:lang w:val="en-US" w:eastAsia="zh-CN"/>
              </w:rPr>
              <w:t>通过与风电场运营方的沟通，一致认为对于临近设计寿命的风电机组，很有必要通过2、一套完整的评价方法对各类机组的延长服役进行评估，以尽可能地获取最大的经济收益。</w:t>
            </w:r>
          </w:p>
        </w:tc>
      </w:tr>
      <w:tr>
        <w:trPr>
          <w:cantSplit/>
          <w:trHeight w:val="789" w:hRule="atLeast"/>
        </w:trPr>
        <w:tc>
          <w:tcPr>
            <w:tcW w:w="1806" w:type="dxa"/>
            <w:gridSpan w:val="2"/>
            <w:tcBorders>
              <w:top w:val="single" w:color="auto" w:sz="4" w:space="0"/>
              <w:left w:val="single" w:color="auto" w:sz="4" w:space="0"/>
              <w:bottom w:val="single" w:color="auto" w:sz="4" w:space="0"/>
              <w:right w:val="single" w:color="auto" w:sz="4" w:space="0"/>
            </w:tcBorders>
            <w:vAlign w:val="center"/>
          </w:tcPr>
          <w:p>
            <w:pPr>
              <w:ind w:left="141" w:leftChars="67" w:right="48" w:rightChars="23"/>
              <w:rPr>
                <w:rFonts w:ascii="宋体" w:hAnsi="宋体"/>
                <w:color w:val="000000"/>
                <w:szCs w:val="21"/>
              </w:rPr>
            </w:pPr>
            <w:r>
              <w:rPr>
                <w:rFonts w:ascii="宋体" w:hAnsi="宋体"/>
                <w:color w:val="000000"/>
                <w:szCs w:val="21"/>
              </w:rPr>
              <w:t>5.5 其他应说明的情况</w:t>
            </w:r>
          </w:p>
        </w:tc>
        <w:tc>
          <w:tcPr>
            <w:tcW w:w="7819"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olor w:val="000000"/>
                <w:szCs w:val="21"/>
                <w:lang w:eastAsia="zh-CN"/>
              </w:rPr>
            </w:pPr>
            <w:r>
              <w:rPr>
                <w:rFonts w:hint="eastAsia" w:ascii="宋体" w:hAnsi="宋体"/>
                <w:color w:val="000000"/>
                <w:szCs w:val="21"/>
                <w:lang w:val="en-US" w:eastAsia="zh-CN"/>
              </w:rPr>
              <w:t>-</w:t>
            </w:r>
          </w:p>
        </w:tc>
      </w:tr>
    </w:tbl>
    <w:p>
      <w:pPr>
        <w:rPr>
          <w:rFonts w:eastAsia="仿宋_GB2312"/>
          <w:b/>
          <w:color w:val="000000"/>
          <w:kern w:val="0"/>
          <w:sz w:val="32"/>
        </w:rPr>
      </w:pPr>
    </w:p>
    <w:tbl>
      <w:tblPr>
        <w:tblpPr w:leftFromText="180" w:rightFromText="180" w:vertAnchor="text" w:horzAnchor="margin" w:tblpXSpec="center" w:tblpY="169"/>
        <w:tblW w:w="9625"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794"/>
        <w:gridCol w:w="6"/>
        <w:gridCol w:w="1288"/>
        <w:gridCol w:w="1080"/>
        <w:gridCol w:w="1620"/>
        <w:gridCol w:w="1440"/>
        <w:gridCol w:w="2397"/>
      </w:tblGrid>
      <w:tr>
        <w:trPr>
          <w:cantSplit/>
          <w:trHeight w:val="458" w:hRule="atLeast"/>
        </w:trPr>
        <w:tc>
          <w:tcPr>
            <w:tcW w:w="9625" w:type="dxa"/>
            <w:gridSpan w:val="7"/>
            <w:tcBorders>
              <w:top w:val="nil"/>
              <w:left w:val="nil"/>
              <w:bottom w:val="nil"/>
              <w:right w:val="nil"/>
            </w:tcBorders>
            <w:vAlign w:val="center"/>
          </w:tcPr>
          <w:p>
            <w:pPr>
              <w:rPr>
                <w:rFonts w:ascii="宋体" w:hAnsi="宋体"/>
                <w:b/>
                <w:color w:val="000000"/>
                <w:szCs w:val="21"/>
              </w:rPr>
            </w:pPr>
            <w:r>
              <w:rPr>
                <w:rFonts w:hint="eastAsia" w:ascii="宋体" w:hAnsi="宋体"/>
                <w:b/>
                <w:color w:val="000000"/>
                <w:szCs w:val="21"/>
              </w:rPr>
              <w:t>6  附加说明（可选项）</w:t>
            </w:r>
          </w:p>
        </w:tc>
      </w:tr>
      <w:tr>
        <w:trPr>
          <w:cantSplit/>
          <w:trHeight w:val="654" w:hRule="atLeast"/>
        </w:trPr>
        <w:tc>
          <w:tcPr>
            <w:tcW w:w="1794" w:type="dxa"/>
            <w:tcBorders>
              <w:top w:val="single" w:color="auto" w:sz="4" w:space="0"/>
              <w:left w:val="single" w:color="auto" w:sz="4" w:space="0"/>
              <w:bottom w:val="single" w:color="auto" w:sz="4" w:space="0"/>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6.1 宣贯标准的建议</w:t>
            </w:r>
          </w:p>
        </w:tc>
        <w:tc>
          <w:tcPr>
            <w:tcW w:w="7831" w:type="dxa"/>
            <w:gridSpan w:val="6"/>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lang w:eastAsia="zh-CN"/>
              </w:rPr>
              <w:t>建议在风能有关认证认可会议上，予以推广应用。</w:t>
            </w:r>
          </w:p>
        </w:tc>
      </w:tr>
      <w:tr>
        <w:trPr>
          <w:cantSplit/>
          <w:trHeight w:val="933" w:hRule="atLeast"/>
        </w:trPr>
        <w:tc>
          <w:tcPr>
            <w:tcW w:w="1794" w:type="dxa"/>
            <w:tcBorders>
              <w:top w:val="single" w:color="auto" w:sz="4" w:space="0"/>
              <w:left w:val="single" w:color="auto" w:sz="4" w:space="0"/>
              <w:bottom w:val="single" w:color="auto" w:sz="4" w:space="0"/>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6.2 修订和废除现行有关标准的建议</w:t>
            </w:r>
          </w:p>
        </w:tc>
        <w:tc>
          <w:tcPr>
            <w:tcW w:w="7831" w:type="dxa"/>
            <w:gridSpan w:val="6"/>
            <w:tcBorders>
              <w:top w:val="single" w:color="auto" w:sz="4" w:space="0"/>
              <w:left w:val="single" w:color="auto" w:sz="4" w:space="0"/>
              <w:bottom w:val="single" w:color="auto" w:sz="4" w:space="0"/>
              <w:right w:val="single" w:color="auto" w:sz="4" w:space="0"/>
            </w:tcBorders>
            <w:vAlign w:val="center"/>
          </w:tcPr>
          <w:p>
            <w:pPr>
              <w:tabs>
                <w:tab w:val="left" w:pos="494"/>
              </w:tabs>
              <w:rPr>
                <w:rFonts w:hint="eastAsia" w:ascii="宋体" w:hAnsi="宋体" w:eastAsia="宋体"/>
                <w:color w:val="000000"/>
                <w:szCs w:val="21"/>
                <w:lang w:eastAsia="zh-CN"/>
              </w:rPr>
            </w:pPr>
            <w:r>
              <w:rPr>
                <w:rFonts w:hint="eastAsia" w:ascii="宋体" w:hAnsi="宋体"/>
                <w:color w:val="000000"/>
                <w:szCs w:val="21"/>
                <w:lang w:eastAsia="zh-CN"/>
              </w:rPr>
              <w:t>国内之前无此类标准</w:t>
            </w:r>
          </w:p>
        </w:tc>
      </w:tr>
      <w:tr>
        <w:trPr>
          <w:cantSplit/>
          <w:trHeight w:val="2174" w:hRule="atLeast"/>
        </w:trPr>
        <w:tc>
          <w:tcPr>
            <w:tcW w:w="1794" w:type="dxa"/>
            <w:tcBorders>
              <w:top w:val="single" w:color="auto" w:sz="4" w:space="0"/>
              <w:left w:val="single" w:color="auto" w:sz="4" w:space="0"/>
              <w:bottom w:val="single" w:color="auto" w:sz="4" w:space="0"/>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6.</w:t>
            </w:r>
            <w:r>
              <w:rPr>
                <w:rFonts w:hint="eastAsia" w:ascii="宋体" w:hAnsi="宋体"/>
                <w:color w:val="000000"/>
                <w:szCs w:val="21"/>
              </w:rPr>
              <w:t>3重大分歧意见的处理经过和依据</w:t>
            </w:r>
          </w:p>
        </w:tc>
        <w:tc>
          <w:tcPr>
            <w:tcW w:w="7831" w:type="dxa"/>
            <w:gridSpan w:val="6"/>
            <w:tcBorders>
              <w:top w:val="single" w:color="auto" w:sz="4" w:space="0"/>
              <w:left w:val="single" w:color="auto" w:sz="4" w:space="0"/>
              <w:bottom w:val="single" w:color="auto" w:sz="4" w:space="0"/>
              <w:right w:val="single" w:color="auto" w:sz="4" w:space="0"/>
            </w:tcBorders>
            <w:vAlign w:val="center"/>
          </w:tcPr>
          <w:p>
            <w:pPr>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指南编制初期，关于延寿评估方法的分类法是根据从风电场资料可获取情况来分类还是根据基于风电机组结构强度与标准更新角度予以分类，编制组成员之间存在较大分歧。</w:t>
            </w:r>
          </w:p>
          <w:p>
            <w:pPr>
              <w:ind w:firstLine="420" w:firstLineChars="200"/>
              <w:rPr>
                <w:rFonts w:ascii="宋体" w:hAnsi="宋体"/>
                <w:color w:val="000000"/>
                <w:szCs w:val="21"/>
              </w:rPr>
            </w:pPr>
            <w:r>
              <w:rPr>
                <w:rFonts w:hint="eastAsia" w:ascii="宋体" w:hAnsi="宋体"/>
                <w:color w:val="000000"/>
                <w:szCs w:val="21"/>
                <w:lang w:val="en-US" w:eastAsia="zh-CN"/>
              </w:rPr>
              <w:t>后经专家研讨会讨论，综合考虑到标准更新、强度验证需要及风电场实际可获取资料情况对评估方法进行分类。这样既尽能量满足评估依据标准，又可结合风电场实际情况来推进风电机组延寿评估工作的顺利开展。</w:t>
            </w:r>
          </w:p>
        </w:tc>
      </w:tr>
      <w:tr>
        <w:trPr>
          <w:cantSplit/>
          <w:trHeight w:val="1629" w:hRule="atLeast"/>
        </w:trPr>
        <w:tc>
          <w:tcPr>
            <w:tcW w:w="1794" w:type="dxa"/>
            <w:tcBorders>
              <w:top w:val="single" w:color="auto" w:sz="4" w:space="0"/>
              <w:left w:val="single" w:color="auto" w:sz="4" w:space="0"/>
              <w:bottom w:val="single" w:color="auto" w:sz="4" w:space="0"/>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6.4 其他需要说明的情况</w:t>
            </w:r>
          </w:p>
        </w:tc>
        <w:tc>
          <w:tcPr>
            <w:tcW w:w="7831" w:type="dxa"/>
            <w:gridSpan w:val="6"/>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lang w:val="en-US" w:eastAsia="zh-CN"/>
              </w:rPr>
              <w:t>-</w:t>
            </w:r>
          </w:p>
        </w:tc>
      </w:tr>
      <w:tr>
        <w:trPr>
          <w:cantSplit/>
          <w:trHeight w:val="1721" w:hRule="atLeast"/>
        </w:trPr>
        <w:tc>
          <w:tcPr>
            <w:tcW w:w="1800" w:type="dxa"/>
            <w:gridSpan w:val="2"/>
            <w:tcBorders>
              <w:top w:val="single" w:color="auto" w:sz="4" w:space="0"/>
              <w:left w:val="single" w:color="auto" w:sz="4" w:space="0"/>
              <w:bottom w:val="single" w:color="auto" w:sz="4" w:space="0"/>
              <w:right w:val="single" w:color="auto" w:sz="4" w:space="0"/>
            </w:tcBorders>
            <w:vAlign w:val="center"/>
          </w:tcPr>
          <w:p>
            <w:pPr>
              <w:ind w:left="141" w:leftChars="67" w:right="176" w:rightChars="84"/>
              <w:rPr>
                <w:rFonts w:ascii="宋体" w:hAnsi="宋体"/>
                <w:color w:val="000000"/>
                <w:szCs w:val="21"/>
              </w:rPr>
            </w:pPr>
            <w:r>
              <w:rPr>
                <w:rFonts w:ascii="宋体" w:hAnsi="宋体"/>
                <w:color w:val="000000"/>
                <w:szCs w:val="21"/>
              </w:rPr>
              <w:t>6.5 参考文献</w:t>
            </w:r>
          </w:p>
        </w:tc>
        <w:tc>
          <w:tcPr>
            <w:tcW w:w="7825" w:type="dxa"/>
            <w:gridSpan w:val="5"/>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p>
          <w:p>
            <w:pPr>
              <w:pStyle w:val="112"/>
              <w:tabs>
                <w:tab w:val="center" w:pos="4201"/>
                <w:tab w:val="right" w:leader="dot" w:pos="9298"/>
              </w:tabs>
              <w:wordWrap/>
              <w:snapToGrid w:val="0"/>
              <w:spacing w:line="360" w:lineRule="auto"/>
              <w:ind w:firstLine="420"/>
              <w:textAlignment w:val="auto"/>
              <w:rPr>
                <w:rFonts w:hint="eastAsia" w:ascii="宋体" w:cs="Times New Roman"/>
                <w:sz w:val="21"/>
                <w:szCs w:val="21"/>
              </w:rPr>
            </w:pPr>
            <w:r>
              <w:rPr>
                <w:rFonts w:hint="eastAsia" w:ascii="宋体" w:cs="Times New Roman"/>
                <w:sz w:val="21"/>
                <w:szCs w:val="21"/>
              </w:rPr>
              <w:t>GB/T 2900.53 电工术语 风力发电机组</w:t>
            </w:r>
          </w:p>
          <w:p>
            <w:pPr>
              <w:pStyle w:val="112"/>
              <w:wordWrap/>
              <w:autoSpaceDE w:val="0"/>
              <w:autoSpaceDN w:val="0"/>
              <w:adjustRightInd w:val="0"/>
              <w:snapToGrid w:val="0"/>
              <w:spacing w:line="360" w:lineRule="auto"/>
              <w:ind w:left="1944" w:leftChars="198" w:hanging="1528" w:hangingChars="728"/>
              <w:textAlignment w:val="auto"/>
              <w:rPr>
                <w:rFonts w:hint="eastAsia" w:ascii="宋体" w:cs="Times New Roman"/>
                <w:sz w:val="21"/>
                <w:szCs w:val="21"/>
                <w:lang w:val="en-US" w:eastAsia="zh-CN"/>
              </w:rPr>
            </w:pPr>
            <w:r>
              <w:rPr>
                <w:rFonts w:hint="eastAsia" w:ascii="宋体" w:cs="Times New Roman"/>
                <w:sz w:val="21"/>
                <w:szCs w:val="21"/>
                <w:lang w:val="en-US" w:eastAsia="zh-CN"/>
              </w:rPr>
              <w:t>GB/T 35792-2018 风力发电机组合格测试及认证</w:t>
            </w:r>
          </w:p>
          <w:p>
            <w:pPr>
              <w:pStyle w:val="112"/>
              <w:tabs>
                <w:tab w:val="center" w:pos="4201"/>
                <w:tab w:val="right" w:leader="dot" w:pos="9298"/>
              </w:tabs>
              <w:wordWrap/>
              <w:snapToGrid w:val="0"/>
              <w:spacing w:line="360" w:lineRule="auto"/>
              <w:ind w:firstLine="420"/>
              <w:textAlignment w:val="auto"/>
              <w:rPr>
                <w:rFonts w:hint="eastAsia" w:ascii="宋体" w:cs="Times New Roman"/>
                <w:sz w:val="21"/>
                <w:szCs w:val="21"/>
              </w:rPr>
            </w:pPr>
            <w:r>
              <w:rPr>
                <w:rFonts w:hint="eastAsia" w:ascii="宋体" w:cs="Times New Roman"/>
                <w:sz w:val="21"/>
                <w:szCs w:val="21"/>
              </w:rPr>
              <w:t>GB/T 18451.1—2012 风力发电机组 设计要求（IDT IEC 61400-1:2005）</w:t>
            </w:r>
          </w:p>
          <w:p>
            <w:pPr>
              <w:pStyle w:val="112"/>
              <w:wordWrap/>
              <w:snapToGrid w:val="0"/>
              <w:spacing w:line="360" w:lineRule="auto"/>
              <w:ind w:firstLine="420"/>
              <w:textAlignment w:val="auto"/>
              <w:rPr>
                <w:rFonts w:hint="eastAsia" w:ascii="宋体" w:cs="Times New Roman"/>
                <w:sz w:val="21"/>
                <w:szCs w:val="21"/>
              </w:rPr>
            </w:pPr>
            <w:r>
              <w:rPr>
                <w:rFonts w:hint="eastAsia" w:ascii="宋体" w:cs="Times New Roman"/>
                <w:sz w:val="21"/>
                <w:szCs w:val="21"/>
              </w:rPr>
              <w:t>GB/T 31517—2015 海上风力发电机组 设计要求（IDT IEC 61400-3:2009）</w:t>
            </w:r>
          </w:p>
          <w:p>
            <w:pPr>
              <w:pStyle w:val="112"/>
              <w:wordWrap/>
              <w:adjustRightInd/>
              <w:snapToGrid w:val="0"/>
              <w:spacing w:line="360" w:lineRule="auto"/>
              <w:ind w:left="1944" w:leftChars="198" w:hanging="1528" w:hangingChars="728"/>
              <w:textAlignment w:val="auto"/>
              <w:rPr>
                <w:rFonts w:hint="eastAsia" w:ascii="宋体" w:eastAsia="宋体" w:cs="Times New Roman"/>
                <w:sz w:val="21"/>
                <w:szCs w:val="21"/>
                <w:lang w:eastAsia="zh-CN"/>
              </w:rPr>
            </w:pPr>
            <w:r>
              <w:rPr>
                <w:rFonts w:hint="eastAsia" w:ascii="宋体" w:cs="Times New Roman"/>
                <w:sz w:val="21"/>
                <w:szCs w:val="21"/>
              </w:rPr>
              <w:t>GB/T 18710—2002 风电场风能资源评估方法</w:t>
            </w:r>
          </w:p>
          <w:p>
            <w:pPr>
              <w:pStyle w:val="112"/>
              <w:wordWrap/>
              <w:autoSpaceDE w:val="0"/>
              <w:autoSpaceDN w:val="0"/>
              <w:adjustRightInd w:val="0"/>
              <w:snapToGrid w:val="0"/>
              <w:spacing w:line="360" w:lineRule="auto"/>
              <w:ind w:left="1944" w:leftChars="198" w:hanging="1528" w:hangingChars="728"/>
              <w:textAlignment w:val="auto"/>
              <w:rPr>
                <w:rFonts w:hint="eastAsia" w:ascii="宋体" w:cs="Times New Roman"/>
                <w:sz w:val="21"/>
                <w:szCs w:val="21"/>
                <w:lang w:val="en-US" w:eastAsia="zh-CN"/>
              </w:rPr>
            </w:pPr>
            <w:r>
              <w:rPr>
                <w:rFonts w:hint="eastAsia" w:ascii="宋体" w:cs="Times New Roman"/>
                <w:sz w:val="21"/>
                <w:szCs w:val="21"/>
                <w:lang w:val="en-US" w:eastAsia="zh-CN"/>
              </w:rPr>
              <w:t>GB/Z 25426-2010 风力发电机组 机械载荷测量</w:t>
            </w:r>
          </w:p>
          <w:p>
            <w:pPr>
              <w:pStyle w:val="112"/>
              <w:tabs>
                <w:tab w:val="center" w:pos="4201"/>
                <w:tab w:val="right" w:leader="dot" w:pos="9298"/>
              </w:tabs>
              <w:wordWrap/>
              <w:snapToGrid w:val="0"/>
              <w:spacing w:line="360" w:lineRule="auto"/>
              <w:ind w:left="1944" w:leftChars="198" w:hanging="1528" w:hangingChars="728"/>
              <w:textAlignment w:val="auto"/>
              <w:rPr>
                <w:rFonts w:hint="eastAsia" w:ascii="宋体" w:cs="Times New Roman"/>
                <w:sz w:val="21"/>
                <w:szCs w:val="21"/>
              </w:rPr>
            </w:pPr>
            <w:r>
              <w:rPr>
                <w:rFonts w:hint="eastAsia" w:ascii="宋体" w:cs="Times New Roman"/>
                <w:sz w:val="21"/>
                <w:szCs w:val="21"/>
              </w:rPr>
              <w:t>IEC61400-12-1:2017 风力发电机组 第12-1部分 功率特性测试</w:t>
            </w:r>
          </w:p>
          <w:p>
            <w:pPr>
              <w:pStyle w:val="112"/>
              <w:wordWrap/>
              <w:snapToGrid w:val="0"/>
              <w:spacing w:line="360" w:lineRule="auto"/>
              <w:ind w:left="1944" w:leftChars="198" w:hanging="1528" w:hangingChars="728"/>
              <w:textAlignment w:val="auto"/>
              <w:rPr>
                <w:rFonts w:hint="eastAsia" w:ascii="宋体" w:cs="Times New Roman"/>
                <w:sz w:val="21"/>
                <w:szCs w:val="21"/>
              </w:rPr>
            </w:pPr>
            <w:r>
              <w:rPr>
                <w:rFonts w:hint="eastAsia" w:ascii="宋体" w:cs="Times New Roman"/>
                <w:sz w:val="21"/>
                <w:szCs w:val="21"/>
              </w:rPr>
              <w:t>IEC 61400-24: 2010</w:t>
            </w:r>
            <w:r>
              <w:rPr>
                <w:rFonts w:hint="eastAsia" w:ascii="宋体" w:cs="Times New Roman"/>
                <w:kern w:val="2"/>
                <w:sz w:val="21"/>
                <w:szCs w:val="21"/>
              </w:rPr>
              <w:t xml:space="preserve"> </w:t>
            </w:r>
            <w:r>
              <w:rPr>
                <w:rFonts w:hint="eastAsia" w:ascii="宋体" w:cs="Times New Roman"/>
                <w:sz w:val="21"/>
                <w:szCs w:val="21"/>
              </w:rPr>
              <w:t>风力发电机组 第24部分：雷电保护</w:t>
            </w:r>
          </w:p>
          <w:p>
            <w:pPr>
              <w:pStyle w:val="112"/>
              <w:wordWrap/>
              <w:snapToGrid w:val="0"/>
              <w:spacing w:line="360" w:lineRule="auto"/>
              <w:ind w:firstLine="420"/>
              <w:textAlignment w:val="auto"/>
              <w:rPr>
                <w:rFonts w:hint="eastAsia" w:ascii="宋体" w:cs="Times New Roman"/>
                <w:sz w:val="21"/>
                <w:szCs w:val="21"/>
              </w:rPr>
            </w:pPr>
            <w:r>
              <w:rPr>
                <w:rFonts w:hint="eastAsia" w:ascii="宋体" w:cs="Times New Roman"/>
                <w:sz w:val="21"/>
                <w:szCs w:val="21"/>
              </w:rPr>
              <w:t>IEC 61439（所有部分） 低压开关和控制装置</w:t>
            </w:r>
          </w:p>
          <w:p>
            <w:pPr>
              <w:pStyle w:val="112"/>
              <w:wordWrap/>
              <w:snapToGrid w:val="0"/>
              <w:spacing w:line="360" w:lineRule="auto"/>
              <w:ind w:firstLine="420"/>
              <w:textAlignment w:val="auto"/>
              <w:rPr>
                <w:rFonts w:hint="eastAsia" w:ascii="宋体" w:cs="Times New Roman"/>
                <w:sz w:val="21"/>
                <w:szCs w:val="21"/>
              </w:rPr>
            </w:pPr>
            <w:r>
              <w:rPr>
                <w:rFonts w:hint="eastAsia" w:ascii="宋体" w:cs="Times New Roman"/>
                <w:sz w:val="21"/>
                <w:szCs w:val="21"/>
              </w:rPr>
              <w:t>IEC61800-4 调速电气传动系统  第4部分：一般要求  交流电压1000V以上但不超过35kV的交流调速电气传动系统额定值的规定</w:t>
            </w:r>
          </w:p>
          <w:p>
            <w:pPr>
              <w:pStyle w:val="112"/>
              <w:wordWrap/>
              <w:snapToGrid w:val="0"/>
              <w:spacing w:line="360" w:lineRule="auto"/>
              <w:ind w:left="1944" w:leftChars="198" w:hanging="1528" w:hangingChars="728"/>
              <w:textAlignment w:val="auto"/>
              <w:rPr>
                <w:rFonts w:hint="eastAsia" w:ascii="宋体" w:cs="Times New Roman"/>
                <w:sz w:val="21"/>
                <w:szCs w:val="21"/>
              </w:rPr>
            </w:pPr>
            <w:r>
              <w:rPr>
                <w:rFonts w:hint="eastAsia" w:ascii="宋体" w:cs="Times New Roman"/>
                <w:sz w:val="21"/>
                <w:szCs w:val="21"/>
              </w:rPr>
              <w:t>IEC 62477-1:2012 电力电子变换器系统和设备的安全要求 第1部分：通则</w:t>
            </w:r>
          </w:p>
          <w:p>
            <w:pPr>
              <w:pStyle w:val="112"/>
              <w:wordWrap/>
              <w:snapToGrid w:val="0"/>
              <w:spacing w:line="360" w:lineRule="auto"/>
              <w:ind w:left="1944" w:leftChars="198" w:hanging="1528" w:hangingChars="728"/>
              <w:textAlignment w:val="auto"/>
              <w:rPr>
                <w:rFonts w:hint="eastAsia" w:ascii="宋体" w:cs="Times New Roman"/>
                <w:sz w:val="21"/>
                <w:szCs w:val="21"/>
              </w:rPr>
            </w:pPr>
            <w:r>
              <w:rPr>
                <w:rFonts w:hint="eastAsia" w:ascii="宋体" w:cs="Times New Roman"/>
                <w:sz w:val="21"/>
                <w:szCs w:val="21"/>
              </w:rPr>
              <w:t xml:space="preserve">ISO/IEC 17025 </w:t>
            </w:r>
            <w:r>
              <w:rPr>
                <w:rFonts w:hint="eastAsia" w:ascii="宋体" w:cs="Times New Roman"/>
                <w:sz w:val="21"/>
                <w:szCs w:val="21"/>
                <w:lang w:eastAsia="zh-CN"/>
              </w:rPr>
              <w:t>检</w:t>
            </w:r>
            <w:r>
              <w:rPr>
                <w:rFonts w:hint="eastAsia" w:ascii="宋体" w:cs="Times New Roman"/>
                <w:sz w:val="21"/>
                <w:szCs w:val="21"/>
              </w:rPr>
              <w:t>测和校准实验室能力的一般要求</w:t>
            </w:r>
          </w:p>
          <w:p>
            <w:pPr>
              <w:pStyle w:val="112"/>
              <w:wordWrap/>
              <w:snapToGrid w:val="0"/>
              <w:spacing w:line="360" w:lineRule="auto"/>
              <w:ind w:left="1944" w:leftChars="198" w:hanging="1528" w:hangingChars="728"/>
              <w:textAlignment w:val="auto"/>
              <w:rPr>
                <w:rFonts w:hint="eastAsia" w:ascii="宋体" w:cs="Times New Roman"/>
                <w:sz w:val="21"/>
                <w:szCs w:val="21"/>
              </w:rPr>
            </w:pPr>
            <w:r>
              <w:rPr>
                <w:rFonts w:hint="eastAsia" w:ascii="宋体" w:cs="Times New Roman"/>
                <w:sz w:val="21"/>
                <w:szCs w:val="21"/>
              </w:rPr>
              <w:t>ISO/IEC 17020 检查机构能力认可准则</w:t>
            </w:r>
          </w:p>
          <w:p>
            <w:pPr>
              <w:pStyle w:val="112"/>
              <w:wordWrap/>
              <w:autoSpaceDE w:val="0"/>
              <w:autoSpaceDN w:val="0"/>
              <w:adjustRightInd w:val="0"/>
              <w:snapToGrid w:val="0"/>
              <w:spacing w:line="360" w:lineRule="auto"/>
              <w:ind w:left="1944" w:leftChars="198" w:hanging="1528" w:hangingChars="728"/>
              <w:textAlignment w:val="auto"/>
              <w:rPr>
                <w:rFonts w:hint="eastAsia" w:ascii="宋体" w:cs="Times New Roman"/>
                <w:sz w:val="21"/>
                <w:szCs w:val="21"/>
              </w:rPr>
            </w:pPr>
            <w:r>
              <w:rPr>
                <w:rFonts w:hint="eastAsia" w:ascii="宋体" w:cs="Times New Roman"/>
                <w:sz w:val="21"/>
                <w:szCs w:val="21"/>
              </w:rPr>
              <w:t>ISO/IEC 17065 合格评定机构认证的产品 过程和服务的要求</w:t>
            </w:r>
          </w:p>
          <w:p>
            <w:pPr>
              <w:pStyle w:val="112"/>
              <w:wordWrap/>
              <w:autoSpaceDE w:val="0"/>
              <w:autoSpaceDN w:val="0"/>
              <w:adjustRightInd w:val="0"/>
              <w:snapToGrid w:val="0"/>
              <w:spacing w:line="360" w:lineRule="auto"/>
              <w:ind w:left="1944" w:leftChars="198" w:hanging="1528" w:hangingChars="728"/>
              <w:textAlignment w:val="auto"/>
              <w:rPr>
                <w:rFonts w:hint="eastAsia" w:ascii="宋体" w:cs="Times New Roman"/>
                <w:sz w:val="21"/>
                <w:szCs w:val="21"/>
              </w:rPr>
            </w:pPr>
            <w:r>
              <w:rPr>
                <w:rFonts w:hint="eastAsia" w:ascii="宋体" w:cs="Times New Roman"/>
                <w:sz w:val="21"/>
                <w:szCs w:val="21"/>
              </w:rPr>
              <w:t>ISO 2394:2015 结构可靠性的基本原则</w:t>
            </w:r>
          </w:p>
          <w:p>
            <w:pPr>
              <w:ind w:firstLine="420" w:firstLineChars="200"/>
              <w:rPr>
                <w:rFonts w:ascii="宋体" w:hAnsi="宋体"/>
                <w:color w:val="000000"/>
                <w:szCs w:val="21"/>
              </w:rPr>
            </w:pPr>
            <w:r>
              <w:rPr>
                <w:rFonts w:hint="eastAsia" w:ascii="宋体" w:cs="Times New Roman"/>
                <w:sz w:val="21"/>
                <w:szCs w:val="21"/>
              </w:rPr>
              <w:t>ISO 9001 质量管理体系要求</w:t>
            </w:r>
          </w:p>
        </w:tc>
      </w:tr>
      <w:tr>
        <w:trPr>
          <w:cantSplit/>
          <w:trHeight w:val="495" w:hRule="atLeast"/>
        </w:trPr>
        <w:tc>
          <w:tcPr>
            <w:tcW w:w="180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联系人</w:t>
            </w:r>
          </w:p>
        </w:tc>
        <w:tc>
          <w:tcPr>
            <w:tcW w:w="12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olor w:val="000000"/>
                <w:szCs w:val="21"/>
                <w:lang w:eastAsia="zh-CN"/>
              </w:rPr>
            </w:pPr>
            <w:r>
              <w:rPr>
                <w:rFonts w:hint="eastAsia" w:ascii="宋体" w:hAnsi="宋体"/>
                <w:color w:val="000000"/>
                <w:szCs w:val="21"/>
                <w:lang w:eastAsia="zh-CN"/>
              </w:rPr>
              <w:t>康巍</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联系电话</w:t>
            </w:r>
          </w:p>
        </w:tc>
        <w:tc>
          <w:tcPr>
            <w:tcW w:w="1620"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color w:val="000000"/>
                <w:szCs w:val="21"/>
                <w:lang w:val="en-US"/>
              </w:rPr>
            </w:pPr>
            <w:r>
              <w:rPr>
                <w:rFonts w:hint="eastAsia" w:ascii="宋体" w:hAnsi="宋体"/>
                <w:color w:val="000000"/>
                <w:szCs w:val="21"/>
                <w:lang w:val="en-US" w:eastAsia="zh-CN"/>
              </w:rPr>
              <w:t>010-83886313</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电子邮箱</w:t>
            </w:r>
          </w:p>
        </w:tc>
        <w:tc>
          <w:tcPr>
            <w:tcW w:w="23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lang w:val="en-US" w:eastAsia="zh-CN"/>
              </w:rPr>
              <w:t>kangwei@cqc.com.cn</w:t>
            </w:r>
          </w:p>
        </w:tc>
      </w:tr>
      <w:tr>
        <w:trPr>
          <w:cantSplit/>
          <w:trHeight w:val="495" w:hRule="atLeast"/>
        </w:trPr>
        <w:tc>
          <w:tcPr>
            <w:tcW w:w="9625" w:type="dxa"/>
            <w:gridSpan w:val="7"/>
            <w:tcBorders>
              <w:top w:val="single" w:color="auto" w:sz="4" w:space="0"/>
              <w:left w:val="single" w:color="auto" w:sz="4" w:space="0"/>
              <w:bottom w:val="single" w:color="auto" w:sz="4" w:space="0"/>
              <w:right w:val="single" w:color="auto" w:sz="4" w:space="0"/>
            </w:tcBorders>
            <w:vAlign w:val="center"/>
          </w:tcPr>
          <w:p>
            <w:pPr>
              <w:adjustRightInd w:val="0"/>
              <w:spacing w:before="60" w:line="360" w:lineRule="auto"/>
              <w:ind w:firstLine="441" w:firstLineChars="210"/>
              <w:rPr>
                <w:rFonts w:ascii="宋体" w:hAnsi="宋体"/>
                <w:color w:val="000000"/>
                <w:szCs w:val="21"/>
              </w:rPr>
            </w:pPr>
            <w:r>
              <w:rPr>
                <w:rFonts w:ascii="宋体" w:hAnsi="宋体"/>
                <w:color w:val="000000"/>
                <w:szCs w:val="21"/>
              </w:rPr>
              <w:t>注1：本</w:t>
            </w:r>
            <w:r>
              <w:rPr>
                <w:rFonts w:hint="eastAsia" w:ascii="宋体" w:hAnsi="宋体"/>
                <w:color w:val="000000"/>
                <w:szCs w:val="21"/>
              </w:rPr>
              <w:t>格式</w:t>
            </w:r>
            <w:r>
              <w:rPr>
                <w:rFonts w:ascii="宋体" w:hAnsi="宋体"/>
                <w:color w:val="000000"/>
                <w:szCs w:val="21"/>
              </w:rPr>
              <w:t>的</w:t>
            </w:r>
            <w:r>
              <w:rPr>
                <w:rFonts w:hint="eastAsia" w:ascii="宋体" w:hAnsi="宋体"/>
                <w:color w:val="000000"/>
                <w:szCs w:val="21"/>
              </w:rPr>
              <w:t>通用</w:t>
            </w:r>
            <w:r>
              <w:rPr>
                <w:rFonts w:ascii="宋体" w:hAnsi="宋体"/>
                <w:color w:val="000000"/>
                <w:szCs w:val="21"/>
              </w:rPr>
              <w:t>部分为第1章、第2章、第4章和第6章。</w:t>
            </w:r>
          </w:p>
          <w:p>
            <w:pPr>
              <w:adjustRightInd w:val="0"/>
              <w:spacing w:before="60" w:line="360" w:lineRule="auto"/>
              <w:ind w:firstLine="441" w:firstLineChars="210"/>
              <w:rPr>
                <w:rFonts w:ascii="宋体" w:hAnsi="宋体"/>
                <w:color w:val="000000"/>
                <w:szCs w:val="21"/>
              </w:rPr>
            </w:pPr>
            <w:r>
              <w:rPr>
                <w:rFonts w:ascii="宋体" w:hAnsi="宋体"/>
                <w:color w:val="000000"/>
                <w:szCs w:val="21"/>
              </w:rPr>
              <w:t>注2：3.4适用于标准草案送审稿，3.5适用于标准草案报批稿，3.6中</w:t>
            </w:r>
            <w:r>
              <w:rPr>
                <w:rFonts w:hint="eastAsia" w:ascii="宋体" w:hAnsi="宋体"/>
                <w:color w:val="000000"/>
                <w:szCs w:val="21"/>
              </w:rPr>
              <w:t>“</w:t>
            </w:r>
            <w:r>
              <w:rPr>
                <w:rFonts w:ascii="宋体" w:hAnsi="宋体"/>
                <w:color w:val="000000"/>
                <w:szCs w:val="21"/>
              </w:rPr>
              <w:t>预期的管理目标</w:t>
            </w:r>
            <w:r>
              <w:rPr>
                <w:rFonts w:hint="eastAsia" w:ascii="宋体" w:hAnsi="宋体"/>
                <w:color w:val="000000"/>
                <w:szCs w:val="21"/>
              </w:rPr>
              <w:t>”</w:t>
            </w:r>
            <w:r>
              <w:rPr>
                <w:rFonts w:ascii="宋体" w:hAnsi="宋体"/>
                <w:color w:val="000000"/>
                <w:szCs w:val="21"/>
              </w:rPr>
              <w:t>适用于规程类标准，3.6中</w:t>
            </w:r>
            <w:r>
              <w:rPr>
                <w:rFonts w:hint="eastAsia" w:ascii="宋体" w:hAnsi="宋体"/>
                <w:color w:val="000000"/>
                <w:szCs w:val="21"/>
              </w:rPr>
              <w:t>“</w:t>
            </w:r>
            <w:r>
              <w:rPr>
                <w:rFonts w:ascii="宋体" w:hAnsi="宋体"/>
                <w:color w:val="000000"/>
                <w:szCs w:val="21"/>
              </w:rPr>
              <w:t>技术指标</w:t>
            </w:r>
            <w:r>
              <w:rPr>
                <w:rFonts w:hint="eastAsia" w:ascii="宋体" w:hAnsi="宋体"/>
                <w:color w:val="000000"/>
                <w:szCs w:val="21"/>
              </w:rPr>
              <w:t>”</w:t>
            </w:r>
            <w:r>
              <w:rPr>
                <w:rFonts w:ascii="宋体" w:hAnsi="宋体"/>
                <w:color w:val="000000"/>
                <w:szCs w:val="21"/>
              </w:rPr>
              <w:t>适用于方法类标准，第5章适用于方法类标准编制说明的编写。</w:t>
            </w:r>
          </w:p>
          <w:p>
            <w:pPr>
              <w:adjustRightInd w:val="0"/>
              <w:spacing w:before="60" w:line="360" w:lineRule="auto"/>
              <w:ind w:firstLine="441" w:firstLineChars="210"/>
              <w:rPr>
                <w:rFonts w:ascii="宋体" w:hAnsi="宋体"/>
                <w:color w:val="000000"/>
                <w:szCs w:val="21"/>
              </w:rPr>
            </w:pPr>
            <w:r>
              <w:rPr>
                <w:rFonts w:ascii="宋体" w:hAnsi="宋体"/>
                <w:color w:val="000000"/>
                <w:szCs w:val="21"/>
              </w:rPr>
              <w:t>注3：3.1和第6章为可选项，其余为必填项。</w:t>
            </w:r>
          </w:p>
        </w:tc>
      </w:tr>
      <w:tr>
        <w:trPr>
          <w:cantSplit/>
          <w:trHeight w:val="495" w:hRule="atLeast"/>
        </w:trPr>
        <w:tc>
          <w:tcPr>
            <w:tcW w:w="9625" w:type="dxa"/>
            <w:gridSpan w:val="7"/>
            <w:tcBorders>
              <w:top w:val="single" w:color="auto" w:sz="4" w:space="0"/>
              <w:left w:val="nil"/>
              <w:bottom w:val="nil"/>
              <w:right w:val="nil"/>
            </w:tcBorders>
            <w:vAlign w:val="center"/>
          </w:tcPr>
          <w:p>
            <w:pPr>
              <w:wordWrap w:val="0"/>
              <w:ind w:right="480"/>
              <w:jc w:val="right"/>
              <w:rPr>
                <w:rFonts w:ascii="宋体" w:hAnsi="宋体"/>
                <w:color w:val="000000"/>
                <w:szCs w:val="21"/>
              </w:rPr>
            </w:pPr>
            <w:r>
              <w:rPr>
                <w:rFonts w:ascii="宋体" w:hAnsi="宋体"/>
                <w:color w:val="000000"/>
                <w:szCs w:val="21"/>
              </w:rPr>
              <w:t xml:space="preserve">编写日期： </w:t>
            </w:r>
            <w:r>
              <w:rPr>
                <w:rFonts w:hint="eastAsia" w:ascii="宋体" w:hAnsi="宋体"/>
                <w:color w:val="000000"/>
                <w:szCs w:val="21"/>
                <w:lang w:val="en-US" w:eastAsia="zh-CN"/>
              </w:rPr>
              <w:t>201x</w:t>
            </w:r>
            <w:r>
              <w:rPr>
                <w:rFonts w:ascii="宋体" w:hAnsi="宋体"/>
                <w:color w:val="000000"/>
                <w:szCs w:val="21"/>
              </w:rPr>
              <w:t xml:space="preserve"> 年 </w:t>
            </w:r>
            <w:r>
              <w:rPr>
                <w:rFonts w:hint="eastAsia" w:ascii="宋体" w:hAnsi="宋体"/>
                <w:color w:val="000000"/>
                <w:szCs w:val="21"/>
                <w:lang w:val="en-US" w:eastAsia="zh-CN"/>
              </w:rPr>
              <w:t>xx</w:t>
            </w:r>
            <w:r>
              <w:rPr>
                <w:rFonts w:ascii="宋体" w:hAnsi="宋体"/>
                <w:color w:val="000000"/>
                <w:szCs w:val="21"/>
              </w:rPr>
              <w:t xml:space="preserve"> 月  </w:t>
            </w:r>
            <w:r>
              <w:rPr>
                <w:rFonts w:hint="eastAsia" w:ascii="宋体" w:hAnsi="宋体"/>
                <w:color w:val="000000"/>
                <w:szCs w:val="21"/>
                <w:lang w:val="en-US" w:eastAsia="zh-CN"/>
              </w:rPr>
              <w:t>xx</w:t>
            </w:r>
            <w:r>
              <w:rPr>
                <w:rFonts w:ascii="宋体" w:hAnsi="宋体"/>
                <w:color w:val="000000"/>
                <w:szCs w:val="21"/>
              </w:rPr>
              <w:t xml:space="preserve"> 日</w:t>
            </w:r>
          </w:p>
        </w:tc>
      </w:tr>
    </w:tbl>
    <w:p>
      <w:pPr>
        <w:rPr>
          <w:rFonts w:eastAsia="方正仿宋简体"/>
          <w:b/>
          <w:snapToGrid w:val="0"/>
          <w:color w:val="000000"/>
          <w:kern w:val="0"/>
          <w:sz w:val="32"/>
          <w:szCs w:val="32"/>
        </w:rPr>
      </w:pPr>
    </w:p>
    <w:sectPr>
      <w:headerReference r:id="rId4" w:type="default"/>
      <w:footerReference r:id="rId5" w:type="default"/>
      <w:footerReference r:id="rId6" w:type="even"/>
      <w:pgSz w:w="11907" w:h="16840"/>
      <w:pgMar w:top="1758" w:right="1418" w:bottom="1758" w:left="1418" w:header="851" w:footer="1134" w:gutter="0"/>
      <w:pgNumType w:start="1"/>
      <w:cols w:space="720" w:num="1"/>
      <w:titlePg/>
      <w:docGrid w:linePitch="291" w:charSpace="-378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auto"/>
    <w:pitch w:val="default"/>
    <w:sig w:usb0="E0002AFF" w:usb1="C000247B" w:usb2="00000009" w:usb3="00000000" w:csb0="200001FF" w:csb1="0000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auto"/>
    <w:pitch w:val="default"/>
    <w:sig w:usb0="A00006FF" w:usb1="4000205B" w:usb2="00000010" w:usb3="00000000" w:csb0="2000019F" w:csb1="00000000"/>
  </w:font>
  <w:font w:name="仿宋_GB2312">
    <w:altName w:val="仿宋"/>
    <w:panose1 w:val="02010609030101010101"/>
    <w:charset w:val="86"/>
    <w:family w:val="auto"/>
    <w:pitch w:val="default"/>
    <w:sig w:usb0="00000000" w:usb1="00000000" w:usb2="00000010" w:usb3="00000000" w:csb0="00040000" w:csb1="00000000"/>
  </w:font>
  <w:font w:name="Arial,Bold">
    <w:altName w:val="Arial"/>
    <w:panose1 w:val="00000000000000000000"/>
    <w:charset w:val="00"/>
    <w:family w:val="auto"/>
    <w:pitch w:val="default"/>
    <w:sig w:usb0="00000000" w:usb1="00000000" w:usb2="00000000" w:usb3="00000000" w:csb0="00000001" w:csb1="00000000"/>
  </w:font>
  <w:font w:name="方正仿宋简体">
    <w:altName w:val="微软雅黑"/>
    <w:panose1 w:val="02010601030101010101"/>
    <w:charset w:val="86"/>
    <w:family w:val="auto"/>
    <w:pitch w:val="default"/>
    <w:sig w:usb0="00000000" w:usb1="00000000" w:usb2="00000010" w:usb3="00000000" w:csb0="00040000" w:csb1="00000000"/>
  </w:font>
  <w:font w:name="方正小标宋简体">
    <w:altName w:val="方正舒体"/>
    <w:panose1 w:val="03000509000000000000"/>
    <w:charset w:val="86"/>
    <w:family w:val="auto"/>
    <w:pitch w:val="default"/>
    <w:sig w:usb0="00000000" w:usb1="00000000" w:usb2="00000010" w:usb3="00000000" w:csb0="00040000" w:csb1="00000000"/>
  </w:font>
  <w:font w:name="Wingdings 2">
    <w:panose1 w:val="05020102010507070707"/>
    <w:charset w:val="02"/>
    <w:family w:val="auto"/>
    <w:pitch w:val="default"/>
    <w:sig w:usb0="00000000" w:usb1="00000000" w:usb2="00000000" w:usb3="00000000" w:csb0="8000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2"/>
      <w:jc w:val="center"/>
      <w:rPr>
        <w:sz w:val="24"/>
        <w:szCs w:val="24"/>
      </w:rPr>
    </w:pPr>
    <w:r>
      <w:rPr>
        <w:rFonts w:hint="eastAsia"/>
        <w:sz w:val="24"/>
        <w:szCs w:val="24"/>
      </w:rPr>
      <w:t>-</w:t>
    </w: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6</w:t>
    </w:r>
    <w:r>
      <w:rPr>
        <w:sz w:val="24"/>
        <w:szCs w:val="24"/>
      </w:rPr>
      <w:fldChar w:fldCharType="end"/>
    </w:r>
    <w:r>
      <w:rPr>
        <w:rFonts w:hint="eastAsia"/>
        <w:sz w:val="24"/>
        <w:szCs w:val="24"/>
      </w:rPr>
      <w:t>-</w:t>
    </w:r>
  </w:p>
  <w:p>
    <w:pPr>
      <w:pStyle w:val="2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2"/>
      <w:framePr w:wrap="around" w:hAnchor="margin" w:vAnchor="text" w:xAlign="center" w:y="1"/>
      <w:rPr>
        <w:rStyle w:val="113"/>
      </w:rPr>
    </w:pPr>
    <w:r>
      <w:fldChar w:fldCharType="begin"/>
    </w:r>
    <w:r>
      <w:rPr>
        <w:rStyle w:val="113"/>
      </w:rPr>
      <w:instrText xml:space="preserve">PAGE  </w:instrText>
    </w:r>
    <w:r>
      <w:fldChar w:fldCharType="separate"/>
    </w:r>
    <w:r>
      <w:fldChar w:fldCharType="end"/>
    </w:r>
  </w:p>
  <w:p>
    <w:pPr>
      <w:pStyle w:val="62"/>
      <w:ind w:right="360"/>
      <w:rPr>
        <w:rStyle w:val="113"/>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
    <w:nsid w:val="00000001"/>
    <w:multiLevelType w:val="multilevel"/>
    <w:tmpl w:val="00000001"/>
    <w:lvl w:ilvl="0" w:tentative="1">
      <w:start w:val="1"/>
      <w:numFmt w:val="none"/>
      <w:suff w:val="nothing"/>
      <w:lvlText w:val="　"/>
      <w:lvlJc w:val="left"/>
      <w:pPr>
        <w:ind w:left="0" w:firstLine="0"/>
      </w:pPr>
      <w:rPr>
        <w:rFonts w:hint="eastAsia" w:ascii="黑体" w:hAnsi="Times New Roman" w:eastAsia="黑体"/>
        <w:b w:val="0"/>
        <w:i w:val="0"/>
        <w:sz w:val="21"/>
      </w:rPr>
    </w:lvl>
    <w:lvl w:ilvl="1" w:tentative="1">
      <w:start w:val="1"/>
      <w:numFmt w:val="decimal"/>
      <w:isLgl/>
      <w:suff w:val="nothing"/>
      <w:lvlText w:val="%2　"/>
      <w:lvlJc w:val="left"/>
      <w:pPr>
        <w:ind w:left="0" w:firstLine="0"/>
      </w:pPr>
      <w:rPr>
        <w:rFonts w:hint="eastAsia" w:ascii="黑体" w:hAnsi="Times New Roman" w:eastAsia="黑体"/>
        <w:b w:val="0"/>
        <w:i w:val="0"/>
        <w:spacing w:val="0"/>
        <w:w w:val="100"/>
        <w:kern w:val="21"/>
        <w:sz w:val="21"/>
      </w:rPr>
    </w:lvl>
    <w:lvl w:ilvl="2" w:tentative="1">
      <w:start w:val="1"/>
      <w:numFmt w:val="decimal"/>
      <w:suff w:val="nothing"/>
      <w:lvlText w:val="%1%2.%3　"/>
      <w:lvlJc w:val="left"/>
      <w:pPr>
        <w:ind w:left="0" w:firstLine="0"/>
      </w:pPr>
      <w:rPr>
        <w:rFonts w:hint="eastAsia" w:ascii="黑体" w:hAnsi="Times New Roman" w:eastAsia="黑体"/>
        <w:b w:val="0"/>
        <w:i w:val="0"/>
        <w:sz w:val="21"/>
      </w:rPr>
    </w:lvl>
    <w:lvl w:ilvl="3" w:tentative="1">
      <w:start w:val="1"/>
      <w:numFmt w:val="decimal"/>
      <w:pStyle w:val="49"/>
      <w:suff w:val="nothing"/>
      <w:lvlText w:val="%1%2.%3.%4　"/>
      <w:lvlJc w:val="left"/>
      <w:pPr>
        <w:ind w:left="0" w:firstLine="0"/>
      </w:pPr>
      <w:rPr>
        <w:rFonts w:hint="eastAsia" w:ascii="黑体" w:hAnsi="Times New Roman" w:eastAsia="黑体"/>
        <w:b w:val="0"/>
        <w:i w:val="0"/>
        <w:sz w:val="21"/>
      </w:rPr>
    </w:lvl>
    <w:lvl w:ilvl="4" w:tentative="1">
      <w:start w:val="1"/>
      <w:numFmt w:val="decimal"/>
      <w:pStyle w:val="90"/>
      <w:suff w:val="nothing"/>
      <w:lvlText w:val="%1%2.%3.%4.%5　"/>
      <w:lvlJc w:val="left"/>
      <w:pPr>
        <w:ind w:left="0" w:firstLine="0"/>
      </w:pPr>
      <w:rPr>
        <w:rFonts w:hint="eastAsia" w:ascii="黑体" w:hAnsi="Times New Roman" w:eastAsia="黑体"/>
        <w:b w:val="0"/>
        <w:i w:val="0"/>
        <w:sz w:val="21"/>
      </w:rPr>
    </w:lvl>
    <w:lvl w:ilvl="5" w:tentative="1">
      <w:start w:val="1"/>
      <w:numFmt w:val="decimal"/>
      <w:pStyle w:val="93"/>
      <w:suff w:val="nothing"/>
      <w:lvlText w:val="%1%2.%3.%4.%5.%6　"/>
      <w:lvlJc w:val="left"/>
      <w:pPr>
        <w:ind w:left="0" w:firstLine="0"/>
      </w:pPr>
      <w:rPr>
        <w:rFonts w:hint="eastAsia" w:ascii="黑体" w:hAnsi="Times New Roman" w:eastAsia="黑体"/>
        <w:b w:val="0"/>
        <w:i w:val="0"/>
        <w:sz w:val="21"/>
      </w:rPr>
    </w:lvl>
    <w:lvl w:ilvl="6" w:tentative="1">
      <w:start w:val="1"/>
      <w:numFmt w:val="decimal"/>
      <w:pStyle w:val="99"/>
      <w:suff w:val="nothing"/>
      <w:lvlText w:val="%1%2.%3.%4.%5.%6.%7　"/>
      <w:lvlJc w:val="left"/>
      <w:pPr>
        <w:ind w:left="0" w:firstLine="0"/>
      </w:pPr>
      <w:rPr>
        <w:rFonts w:hint="eastAsia" w:ascii="黑体" w:hAnsi="Times New Roman" w:eastAsia="黑体"/>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1">
    <w:nsid w:val="0000000B"/>
    <w:multiLevelType w:val="multilevel"/>
    <w:tmpl w:val="0000000B"/>
    <w:lvl w:ilvl="0" w:tentative="1">
      <w:start w:val="1"/>
      <w:numFmt w:val="decimal"/>
      <w:pStyle w:val="101"/>
      <w:suff w:val="nothing"/>
      <w:lvlText w:val="表%1　"/>
      <w:lvlJc w:val="left"/>
      <w:pPr>
        <w:ind w:left="0" w:firstLine="0"/>
      </w:pPr>
      <w:rPr>
        <w:rFonts w:hint="eastAsia" w:ascii="黑体" w:hAnsi="Times New Roman" w:eastAsia="黑体"/>
        <w:b w:val="0"/>
        <w:i w:val="0"/>
        <w:sz w:val="21"/>
      </w:rPr>
    </w:lvl>
    <w:lvl w:ilvl="1" w:tentative="1">
      <w:start w:val="1"/>
      <w:numFmt w:val="decimal"/>
      <w:lvlText w:val="%1.%2"/>
      <w:lvlJc w:val="left"/>
      <w:pPr>
        <w:tabs>
          <w:tab w:val="left" w:pos="992"/>
        </w:tabs>
        <w:ind w:left="992" w:hanging="567"/>
      </w:pPr>
      <w:rPr>
        <w:rFonts w:hint="eastAsia"/>
      </w:rPr>
    </w:lvl>
    <w:lvl w:ilvl="2" w:tentative="1">
      <w:start w:val="1"/>
      <w:numFmt w:val="decimal"/>
      <w:lvlText w:val="%1.%2.%3"/>
      <w:lvlJc w:val="left"/>
      <w:pPr>
        <w:tabs>
          <w:tab w:val="left" w:pos="1418"/>
        </w:tabs>
        <w:ind w:left="1418" w:hanging="567"/>
      </w:pPr>
      <w:rPr>
        <w:rFonts w:hint="eastAsia"/>
      </w:rPr>
    </w:lvl>
    <w:lvl w:ilvl="3" w:tentative="1">
      <w:start w:val="1"/>
      <w:numFmt w:val="decimal"/>
      <w:lvlText w:val="%1.%2.%3.%4"/>
      <w:lvlJc w:val="left"/>
      <w:pPr>
        <w:tabs>
          <w:tab w:val="left" w:pos="1984"/>
        </w:tabs>
        <w:ind w:left="1984" w:hanging="708"/>
      </w:pPr>
      <w:rPr>
        <w:rFonts w:hint="eastAsia"/>
      </w:rPr>
    </w:lvl>
    <w:lvl w:ilvl="4" w:tentative="1">
      <w:start w:val="1"/>
      <w:numFmt w:val="decimal"/>
      <w:lvlText w:val="%1.%2.%3.%4.%5"/>
      <w:lvlJc w:val="left"/>
      <w:pPr>
        <w:tabs>
          <w:tab w:val="left" w:pos="2551"/>
        </w:tabs>
        <w:ind w:left="2551" w:hanging="850"/>
      </w:pPr>
      <w:rPr>
        <w:rFonts w:hint="eastAsia"/>
      </w:rPr>
    </w:lvl>
    <w:lvl w:ilvl="5" w:tentative="1">
      <w:start w:val="1"/>
      <w:numFmt w:val="decimal"/>
      <w:lvlText w:val="%1.%2.%3.%4.%5.%6"/>
      <w:lvlJc w:val="left"/>
      <w:pPr>
        <w:tabs>
          <w:tab w:val="left" w:pos="3260"/>
        </w:tabs>
        <w:ind w:left="3260" w:hanging="1134"/>
      </w:pPr>
      <w:rPr>
        <w:rFonts w:hint="eastAsia"/>
      </w:rPr>
    </w:lvl>
    <w:lvl w:ilvl="6" w:tentative="1">
      <w:start w:val="1"/>
      <w:numFmt w:val="decimal"/>
      <w:lvlText w:val="%1.%2.%3.%4.%5.%6.%7"/>
      <w:lvlJc w:val="left"/>
      <w:pPr>
        <w:tabs>
          <w:tab w:val="left" w:pos="3827"/>
        </w:tabs>
        <w:ind w:left="3827" w:hanging="1276"/>
      </w:pPr>
      <w:rPr>
        <w:rFonts w:hint="eastAsia"/>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2">
    <w:nsid w:val="0000000C"/>
    <w:multiLevelType w:val="multilevel"/>
    <w:tmpl w:val="0000000C"/>
    <w:lvl w:ilvl="0" w:tentative="1">
      <w:start w:val="1"/>
      <w:numFmt w:val="none"/>
      <w:pStyle w:val="48"/>
      <w:lvlText w:val="%1示例"/>
      <w:lvlJc w:val="left"/>
      <w:pPr>
        <w:tabs>
          <w:tab w:val="left" w:pos="1120"/>
        </w:tabs>
        <w:ind w:left="0" w:firstLine="400"/>
      </w:pPr>
      <w:rPr>
        <w:rFonts w:hint="eastAsia" w:ascii="宋体" w:eastAsia="宋体"/>
        <w:b w:val="0"/>
        <w:i w:val="0"/>
        <w:sz w:val="18"/>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3">
    <w:nsid w:val="0000000D"/>
    <w:multiLevelType w:val="multilevel"/>
    <w:tmpl w:val="0000000D"/>
    <w:lvl w:ilvl="0" w:tentative="1">
      <w:start w:val="1"/>
      <w:numFmt w:val="none"/>
      <w:pStyle w:val="61"/>
      <w:suff w:val="nothing"/>
      <w:lvlText w:val="%1"/>
      <w:lvlJc w:val="left"/>
      <w:pPr>
        <w:ind w:left="0" w:firstLine="0"/>
      </w:pPr>
      <w:rPr>
        <w:rFonts w:hint="default" w:ascii="Times New Roman" w:hAnsi="Times New Roman"/>
        <w:b/>
        <w:i w:val="0"/>
        <w:sz w:val="21"/>
      </w:rPr>
    </w:lvl>
    <w:lvl w:ilvl="1" w:tentative="1">
      <w:start w:val="1"/>
      <w:numFmt w:val="decimal"/>
      <w:suff w:val="nothing"/>
      <w:lvlText w:val="%1%2　"/>
      <w:lvlJc w:val="left"/>
      <w:pPr>
        <w:ind w:left="0" w:firstLine="0"/>
      </w:pPr>
      <w:rPr>
        <w:rFonts w:hint="eastAsia" w:ascii="黑体" w:hAnsi="Times New Roman" w:eastAsia="黑体"/>
        <w:b w:val="0"/>
        <w:i w:val="0"/>
        <w:sz w:val="21"/>
      </w:rPr>
    </w:lvl>
    <w:lvl w:ilvl="2" w:tentative="1">
      <w:start w:val="1"/>
      <w:numFmt w:val="decimal"/>
      <w:suff w:val="nothing"/>
      <w:lvlText w:val="%1%2.%3　"/>
      <w:lvlJc w:val="left"/>
      <w:pPr>
        <w:ind w:left="0" w:firstLine="0"/>
      </w:pPr>
      <w:rPr>
        <w:rFonts w:hint="eastAsia" w:ascii="黑体" w:hAnsi="Times New Roman" w:eastAsia="黑体"/>
        <w:b w:val="0"/>
        <w:i w:val="0"/>
        <w:sz w:val="21"/>
      </w:rPr>
    </w:lvl>
    <w:lvl w:ilvl="3" w:tentative="1">
      <w:start w:val="1"/>
      <w:numFmt w:val="decimal"/>
      <w:suff w:val="nothing"/>
      <w:lvlText w:val="%1%2.%3.%4　"/>
      <w:lvlJc w:val="left"/>
      <w:pPr>
        <w:ind w:left="0" w:firstLine="0"/>
      </w:pPr>
      <w:rPr>
        <w:rFonts w:hint="eastAsia" w:ascii="黑体" w:hAnsi="Times New Roman" w:eastAsia="黑体"/>
        <w:b w:val="0"/>
        <w:i w:val="0"/>
        <w:sz w:val="21"/>
      </w:rPr>
    </w:lvl>
    <w:lvl w:ilvl="4" w:tentative="1">
      <w:start w:val="1"/>
      <w:numFmt w:val="decimal"/>
      <w:pStyle w:val="63"/>
      <w:suff w:val="nothing"/>
      <w:lvlText w:val="%1%2.%3.%4.%5　"/>
      <w:lvlJc w:val="left"/>
      <w:pPr>
        <w:ind w:left="0" w:firstLine="0"/>
      </w:pPr>
      <w:rPr>
        <w:rFonts w:hint="eastAsia" w:ascii="黑体" w:hAnsi="Times New Roman" w:eastAsia="黑体"/>
        <w:b w:val="0"/>
        <w:i w:val="0"/>
        <w:sz w:val="21"/>
      </w:rPr>
    </w:lvl>
    <w:lvl w:ilvl="5" w:tentative="1">
      <w:start w:val="1"/>
      <w:numFmt w:val="decimal"/>
      <w:suff w:val="nothing"/>
      <w:lvlText w:val="%1%2.%3.%4.%5.%6　"/>
      <w:lvlJc w:val="left"/>
      <w:pPr>
        <w:ind w:left="0" w:firstLine="0"/>
      </w:pPr>
      <w:rPr>
        <w:rFonts w:hint="eastAsia" w:ascii="黑体" w:hAnsi="Times New Roman" w:eastAsia="黑体"/>
        <w:b w:val="0"/>
        <w:i w:val="0"/>
        <w:sz w:val="21"/>
      </w:rPr>
    </w:lvl>
    <w:lvl w:ilvl="6" w:tentative="1">
      <w:start w:val="1"/>
      <w:numFmt w:val="decimal"/>
      <w:suff w:val="nothing"/>
      <w:lvlText w:val="%1%2.%3.%4.%5.%6.%7　"/>
      <w:lvlJc w:val="left"/>
      <w:pPr>
        <w:ind w:left="0" w:firstLine="0"/>
      </w:pPr>
      <w:rPr>
        <w:rFonts w:hint="eastAsia" w:ascii="黑体" w:hAnsi="Times New Roman" w:eastAsia="黑体"/>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4">
    <w:nsid w:val="0000000E"/>
    <w:multiLevelType w:val="multilevel"/>
    <w:tmpl w:val="0000000E"/>
    <w:lvl w:ilvl="0" w:tentative="1">
      <w:start w:val="1"/>
      <w:numFmt w:val="decimal"/>
      <w:pStyle w:val="102"/>
      <w:suff w:val="nothing"/>
      <w:lvlText w:val="图%1　"/>
      <w:lvlJc w:val="left"/>
      <w:pPr>
        <w:ind w:left="0" w:firstLine="0"/>
      </w:pPr>
      <w:rPr>
        <w:rFonts w:hint="eastAsia" w:ascii="黑体" w:hAnsi="Times New Roman" w:eastAsia="黑体"/>
        <w:b w:val="0"/>
        <w:i w:val="0"/>
        <w:sz w:val="21"/>
      </w:rPr>
    </w:lvl>
    <w:lvl w:ilvl="1" w:tentative="1">
      <w:start w:val="1"/>
      <w:numFmt w:val="decimal"/>
      <w:suff w:val="nothing"/>
      <w:lvlText w:val="%1%2　"/>
      <w:lvlJc w:val="left"/>
      <w:pPr>
        <w:ind w:left="0" w:firstLine="0"/>
      </w:pPr>
      <w:rPr>
        <w:rFonts w:hint="default" w:ascii="Times New Roman" w:hAnsi="Times New Roman" w:eastAsia="黑体"/>
        <w:b w:val="0"/>
        <w:i w:val="0"/>
        <w:sz w:val="21"/>
      </w:rPr>
    </w:lvl>
    <w:lvl w:ilvl="2" w:tentative="1">
      <w:start w:val="1"/>
      <w:numFmt w:val="decimal"/>
      <w:suff w:val="nothing"/>
      <w:lvlText w:val="%1%2.%3　"/>
      <w:lvlJc w:val="left"/>
      <w:pPr>
        <w:ind w:left="0" w:firstLine="0"/>
      </w:pPr>
      <w:rPr>
        <w:rFonts w:hint="default" w:ascii="Times New Roman" w:hAnsi="Times New Roman" w:eastAsia="黑体"/>
        <w:b w:val="0"/>
        <w:i w:val="0"/>
        <w:sz w:val="21"/>
      </w:rPr>
    </w:lvl>
    <w:lvl w:ilvl="3" w:tentative="1">
      <w:start w:val="1"/>
      <w:numFmt w:val="decimal"/>
      <w:suff w:val="nothing"/>
      <w:lvlText w:val="%1%2.%3.%4　"/>
      <w:lvlJc w:val="left"/>
      <w:pPr>
        <w:ind w:left="0" w:firstLine="0"/>
      </w:pPr>
      <w:rPr>
        <w:rFonts w:hint="default" w:ascii="Times New Roman" w:hAnsi="Times New Roman" w:eastAsia="黑体"/>
        <w:b w:val="0"/>
        <w:i w:val="0"/>
        <w:sz w:val="21"/>
      </w:rPr>
    </w:lvl>
    <w:lvl w:ilvl="4" w:tentative="1">
      <w:start w:val="1"/>
      <w:numFmt w:val="decimal"/>
      <w:suff w:val="nothing"/>
      <w:lvlText w:val="%1%2.%3.%4.%5　"/>
      <w:lvlJc w:val="left"/>
      <w:pPr>
        <w:ind w:left="0" w:firstLine="0"/>
      </w:pPr>
      <w:rPr>
        <w:rFonts w:hint="default" w:ascii="Times New Roman" w:hAnsi="Times New Roman" w:eastAsia="黑体"/>
        <w:b w:val="0"/>
        <w:i w:val="0"/>
        <w:sz w:val="21"/>
      </w:rPr>
    </w:lvl>
    <w:lvl w:ilvl="5" w:tentative="1">
      <w:start w:val="1"/>
      <w:numFmt w:val="decimal"/>
      <w:suff w:val="nothing"/>
      <w:lvlText w:val="%1%2.%3.%4.%5.%6　"/>
      <w:lvlJc w:val="left"/>
      <w:pPr>
        <w:ind w:left="0" w:firstLine="0"/>
      </w:pPr>
      <w:rPr>
        <w:rFonts w:hint="default" w:ascii="Times New Roman" w:hAnsi="Times New Roman" w:eastAsia="黑体"/>
        <w:b w:val="0"/>
        <w:i w:val="0"/>
        <w:sz w:val="21"/>
      </w:rPr>
    </w:lvl>
    <w:lvl w:ilvl="6" w:tentative="1">
      <w:start w:val="1"/>
      <w:numFmt w:val="decimal"/>
      <w:suff w:val="nothing"/>
      <w:lvlText w:val="%1%2.%3.%4.%5.%6.%7　"/>
      <w:lvlJc w:val="left"/>
      <w:pPr>
        <w:ind w:left="0" w:firstLine="0"/>
      </w:pPr>
      <w:rPr>
        <w:rFonts w:hint="default" w:ascii="Times New Roman" w:hAnsi="Times New Roman" w:eastAsia="黑体"/>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5">
    <w:nsid w:val="0000000F"/>
    <w:multiLevelType w:val="multilevel"/>
    <w:tmpl w:val="0000000F"/>
    <w:lvl w:ilvl="0" w:tentative="1">
      <w:start w:val="1"/>
      <w:numFmt w:val="none"/>
      <w:pStyle w:val="103"/>
      <w:lvlText w:val="%1注："/>
      <w:lvlJc w:val="left"/>
      <w:pPr>
        <w:tabs>
          <w:tab w:val="left" w:pos="1140"/>
        </w:tabs>
        <w:ind w:left="840" w:hanging="420"/>
      </w:pPr>
      <w:rPr>
        <w:rFonts w:hint="eastAsia" w:ascii="宋体" w:hAnsi="Times New Roman" w:eastAsia="宋体"/>
        <w:b w:val="0"/>
        <w:i w:val="0"/>
        <w:sz w:val="18"/>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6">
    <w:nsid w:val="00000010"/>
    <w:multiLevelType w:val="multilevel"/>
    <w:tmpl w:val="00000010"/>
    <w:lvl w:ilvl="0" w:tentative="1">
      <w:start w:val="1"/>
      <w:numFmt w:val="none"/>
      <w:pStyle w:val="87"/>
      <w:lvlText w:val="%1·　"/>
      <w:lvlJc w:val="left"/>
      <w:pPr>
        <w:tabs>
          <w:tab w:val="left" w:pos="1140"/>
        </w:tabs>
        <w:ind w:left="737" w:hanging="317"/>
      </w:pPr>
      <w:rPr>
        <w:rFonts w:hint="eastAsia" w:ascii="宋体" w:hAnsi="Times New Roman" w:eastAsia="宋体"/>
        <w:b w:val="0"/>
        <w:i w:val="0"/>
        <w:sz w:val="21"/>
      </w:rPr>
    </w:lvl>
    <w:lvl w:ilvl="1" w:tentative="1">
      <w:start w:val="1"/>
      <w:numFmt w:val="bullet"/>
      <w:lvlText w:val=""/>
      <w:lvlJc w:val="left"/>
      <w:pPr>
        <w:tabs>
          <w:tab w:val="left" w:pos="840"/>
        </w:tabs>
        <w:ind w:left="840" w:hanging="420"/>
      </w:pPr>
      <w:rPr>
        <w:rFonts w:hint="default" w:ascii="Wingdings" w:hAnsi="Wingdings"/>
      </w:rPr>
    </w:lvl>
    <w:lvl w:ilvl="2" w:tentative="1">
      <w:start w:val="1"/>
      <w:numFmt w:val="bullet"/>
      <w:lvlText w:val=""/>
      <w:lvlJc w:val="left"/>
      <w:pPr>
        <w:tabs>
          <w:tab w:val="left" w:pos="1260"/>
        </w:tabs>
        <w:ind w:left="1260" w:hanging="420"/>
      </w:pPr>
      <w:rPr>
        <w:rFonts w:hint="default" w:ascii="Wingdings" w:hAnsi="Wingdings"/>
      </w:rPr>
    </w:lvl>
    <w:lvl w:ilvl="3" w:tentative="1">
      <w:start w:val="1"/>
      <w:numFmt w:val="bullet"/>
      <w:lvlText w:val=""/>
      <w:lvlJc w:val="left"/>
      <w:pPr>
        <w:tabs>
          <w:tab w:val="left" w:pos="1680"/>
        </w:tabs>
        <w:ind w:left="1680" w:hanging="420"/>
      </w:pPr>
      <w:rPr>
        <w:rFonts w:hint="default" w:ascii="Wingdings" w:hAnsi="Wingdings"/>
      </w:rPr>
    </w:lvl>
    <w:lvl w:ilvl="4" w:tentative="1">
      <w:start w:val="1"/>
      <w:numFmt w:val="bullet"/>
      <w:lvlText w:val=""/>
      <w:lvlJc w:val="left"/>
      <w:pPr>
        <w:tabs>
          <w:tab w:val="left" w:pos="2100"/>
        </w:tabs>
        <w:ind w:left="2100" w:hanging="420"/>
      </w:pPr>
      <w:rPr>
        <w:rFonts w:hint="default" w:ascii="Wingdings" w:hAnsi="Wingdings"/>
      </w:rPr>
    </w:lvl>
    <w:lvl w:ilvl="5" w:tentative="1">
      <w:start w:val="1"/>
      <w:numFmt w:val="bullet"/>
      <w:lvlText w:val=""/>
      <w:lvlJc w:val="left"/>
      <w:pPr>
        <w:tabs>
          <w:tab w:val="left" w:pos="2520"/>
        </w:tabs>
        <w:ind w:left="2520" w:hanging="420"/>
      </w:pPr>
      <w:rPr>
        <w:rFonts w:hint="default" w:ascii="Wingdings" w:hAnsi="Wingdings"/>
      </w:rPr>
    </w:lvl>
    <w:lvl w:ilvl="6" w:tentative="1">
      <w:start w:val="1"/>
      <w:numFmt w:val="bullet"/>
      <w:lvlText w:val=""/>
      <w:lvlJc w:val="left"/>
      <w:pPr>
        <w:tabs>
          <w:tab w:val="left" w:pos="2940"/>
        </w:tabs>
        <w:ind w:left="2940" w:hanging="420"/>
      </w:pPr>
      <w:rPr>
        <w:rFonts w:hint="default" w:ascii="Wingdings" w:hAnsi="Wingdings"/>
      </w:rPr>
    </w:lvl>
    <w:lvl w:ilvl="7" w:tentative="1">
      <w:start w:val="1"/>
      <w:numFmt w:val="bullet"/>
      <w:lvlText w:val=""/>
      <w:lvlJc w:val="left"/>
      <w:pPr>
        <w:tabs>
          <w:tab w:val="left" w:pos="3360"/>
        </w:tabs>
        <w:ind w:left="3360" w:hanging="420"/>
      </w:pPr>
      <w:rPr>
        <w:rFonts w:hint="default" w:ascii="Wingdings" w:hAnsi="Wingdings"/>
      </w:rPr>
    </w:lvl>
    <w:lvl w:ilvl="8" w:tentative="1">
      <w:start w:val="1"/>
      <w:numFmt w:val="bullet"/>
      <w:lvlText w:val=""/>
      <w:lvlJc w:val="left"/>
      <w:pPr>
        <w:tabs>
          <w:tab w:val="left" w:pos="3780"/>
        </w:tabs>
        <w:ind w:left="3780" w:hanging="420"/>
      </w:pPr>
      <w:rPr>
        <w:rFonts w:hint="default" w:ascii="Wingdings" w:hAnsi="Wingdings"/>
      </w:rPr>
    </w:lvl>
  </w:abstractNum>
  <w:abstractNum w:abstractNumId="17">
    <w:nsid w:val="00000011"/>
    <w:multiLevelType w:val="multilevel"/>
    <w:tmpl w:val="00000011"/>
    <w:lvl w:ilvl="0" w:tentative="1">
      <w:start w:val="1"/>
      <w:numFmt w:val="none"/>
      <w:pStyle w:val="86"/>
      <w:lvlText w:val="%1——"/>
      <w:lvlJc w:val="left"/>
      <w:pPr>
        <w:tabs>
          <w:tab w:val="left" w:pos="1140"/>
        </w:tabs>
        <w:ind w:left="840" w:hanging="42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8">
    <w:nsid w:val="00000012"/>
    <w:multiLevelType w:val="multilevel"/>
    <w:tmpl w:val="00000012"/>
    <w:lvl w:ilvl="0" w:tentative="1">
      <w:start w:val="1"/>
      <w:numFmt w:val="none"/>
      <w:pStyle w:val="104"/>
      <w:lvlText w:val="%1注"/>
      <w:lvlJc w:val="left"/>
      <w:pPr>
        <w:tabs>
          <w:tab w:val="left" w:pos="900"/>
        </w:tabs>
        <w:ind w:left="900" w:hanging="500"/>
      </w:pPr>
      <w:rPr>
        <w:rFonts w:hint="eastAsia" w:ascii="宋体" w:hAnsi="Times New Roman" w:eastAsia="宋体"/>
        <w:b w:val="0"/>
        <w:i w:val="0"/>
        <w:sz w:val="18"/>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9">
    <w:nsid w:val="00000013"/>
    <w:multiLevelType w:val="multilevel"/>
    <w:tmpl w:val="00000013"/>
    <w:lvl w:ilvl="0" w:tentative="1">
      <w:start w:val="1"/>
      <w:numFmt w:val="upperLetter"/>
      <w:pStyle w:val="83"/>
      <w:suff w:val="nothing"/>
      <w:lvlText w:val="附　录　%1"/>
      <w:lvlJc w:val="left"/>
      <w:pPr>
        <w:ind w:left="0" w:firstLine="0"/>
      </w:pPr>
      <w:rPr>
        <w:rFonts w:hint="eastAsia" w:ascii="黑体" w:hAnsi="Times New Roman" w:eastAsia="黑体"/>
        <w:b w:val="0"/>
        <w:i w:val="0"/>
        <w:sz w:val="21"/>
      </w:rPr>
    </w:lvl>
    <w:lvl w:ilvl="1" w:tentative="1">
      <w:start w:val="1"/>
      <w:numFmt w:val="decimal"/>
      <w:pStyle w:val="58"/>
      <w:suff w:val="nothing"/>
      <w:lvlText w:val="%1.%2　"/>
      <w:lvlJc w:val="left"/>
      <w:pPr>
        <w:ind w:left="0" w:firstLine="0"/>
      </w:pPr>
      <w:rPr>
        <w:rFonts w:hint="eastAsia" w:ascii="黑体" w:hAnsi="Times New Roman" w:eastAsia="黑体"/>
        <w:b w:val="0"/>
        <w:i w:val="0"/>
        <w:spacing w:val="0"/>
        <w:w w:val="100"/>
        <w:kern w:val="21"/>
        <w:sz w:val="21"/>
      </w:rPr>
    </w:lvl>
    <w:lvl w:ilvl="2" w:tentative="1">
      <w:start w:val="1"/>
      <w:numFmt w:val="decimal"/>
      <w:suff w:val="nothing"/>
      <w:lvlText w:val="%1.%2.%3　"/>
      <w:lvlJc w:val="left"/>
      <w:pPr>
        <w:ind w:left="0" w:firstLine="0"/>
      </w:pPr>
      <w:rPr>
        <w:rFonts w:hint="eastAsia" w:ascii="黑体" w:hAnsi="Times New Roman" w:eastAsia="黑体"/>
        <w:b w:val="0"/>
        <w:i w:val="0"/>
        <w:sz w:val="21"/>
      </w:rPr>
    </w:lvl>
    <w:lvl w:ilvl="3" w:tentative="1">
      <w:start w:val="1"/>
      <w:numFmt w:val="decimal"/>
      <w:suff w:val="nothing"/>
      <w:lvlText w:val="%1.%2.%3.%4　"/>
      <w:lvlJc w:val="left"/>
      <w:pPr>
        <w:ind w:left="0" w:firstLine="0"/>
      </w:pPr>
      <w:rPr>
        <w:rFonts w:hint="eastAsia" w:ascii="黑体" w:hAnsi="Times New Roman" w:eastAsia="黑体"/>
        <w:b w:val="0"/>
        <w:i w:val="0"/>
        <w:sz w:val="21"/>
      </w:rPr>
    </w:lvl>
    <w:lvl w:ilvl="4" w:tentative="1">
      <w:start w:val="1"/>
      <w:numFmt w:val="decimal"/>
      <w:suff w:val="nothing"/>
      <w:lvlText w:val="%1.%2.%3.%4.%5　"/>
      <w:lvlJc w:val="left"/>
      <w:pPr>
        <w:ind w:left="0" w:firstLine="0"/>
      </w:pPr>
      <w:rPr>
        <w:rFonts w:hint="eastAsia" w:ascii="黑体" w:hAnsi="Times New Roman" w:eastAsia="黑体"/>
        <w:b w:val="0"/>
        <w:i w:val="0"/>
        <w:sz w:val="21"/>
      </w:rPr>
    </w:lvl>
    <w:lvl w:ilvl="5" w:tentative="1">
      <w:start w:val="1"/>
      <w:numFmt w:val="decimal"/>
      <w:suff w:val="nothing"/>
      <w:lvlText w:val="%1.%2.%3.%4.%5.%6　"/>
      <w:lvlJc w:val="left"/>
      <w:pPr>
        <w:ind w:left="0" w:firstLine="0"/>
      </w:pPr>
      <w:rPr>
        <w:rFonts w:hint="eastAsia" w:ascii="黑体" w:hAnsi="Times New Roman" w:eastAsia="黑体"/>
        <w:b w:val="0"/>
        <w:i w:val="0"/>
        <w:sz w:val="21"/>
      </w:rPr>
    </w:lvl>
    <w:lvl w:ilvl="6" w:tentative="1">
      <w:start w:val="1"/>
      <w:numFmt w:val="decimal"/>
      <w:suff w:val="nothing"/>
      <w:lvlText w:val="%1.%2.%3.%4.%5.%6.%7　"/>
      <w:lvlJc w:val="left"/>
      <w:pPr>
        <w:ind w:left="0" w:firstLine="0"/>
      </w:pPr>
      <w:rPr>
        <w:rFonts w:hint="eastAsia" w:ascii="黑体" w:hAnsi="Times New Roman" w:eastAsia="黑体"/>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num w:numId="1">
    <w:abstractNumId w:val="12"/>
  </w:num>
  <w:num w:numId="2">
    <w:abstractNumId w:val="1"/>
  </w:num>
  <w:num w:numId="3">
    <w:abstractNumId w:val="19"/>
  </w:num>
  <w:num w:numId="4">
    <w:abstractNumId w:val="13"/>
  </w:num>
  <w:num w:numId="5">
    <w:abstractNumId w:val="17"/>
  </w:num>
  <w:num w:numId="6">
    <w:abstractNumId w:val="16"/>
  </w:num>
  <w:num w:numId="7">
    <w:abstractNumId w:val="11"/>
  </w:num>
  <w:num w:numId="8">
    <w:abstractNumId w:val="14"/>
  </w:num>
  <w:num w:numId="9">
    <w:abstractNumId w:val="15"/>
  </w:num>
  <w:num w:numId="1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efaultTabStop w:val="420"/>
  <w:drawingGridHorizontalSpacing w:val="96"/>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pPr>
      <w:keepNext/>
      <w:keepLines/>
      <w:spacing w:before="340" w:after="330" w:line="578" w:lineRule="auto"/>
      <w:outlineLvl w:val="0"/>
    </w:pPr>
    <w:rPr>
      <w:b/>
      <w:bCs/>
      <w:kern w:val="44"/>
      <w:sz w:val="44"/>
      <w:szCs w:val="44"/>
    </w:rPr>
  </w:style>
  <w:style w:type="paragraph" w:styleId="3">
    <w:name w:val="heading 2"/>
    <w:basedOn w:val="1"/>
    <w:next w:val="1"/>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pPr>
      <w:keepNext/>
      <w:keepLines/>
      <w:spacing w:before="260" w:after="260" w:line="416" w:lineRule="auto"/>
      <w:outlineLvl w:val="2"/>
    </w:pPr>
    <w:rPr>
      <w:b/>
      <w:bCs/>
      <w:sz w:val="32"/>
      <w:szCs w:val="32"/>
    </w:rPr>
  </w:style>
  <w:style w:type="paragraph" w:styleId="5">
    <w:name w:val="heading 4"/>
    <w:basedOn w:val="1"/>
    <w:next w:val="1"/>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pPr>
      <w:keepNext/>
      <w:keepLines/>
      <w:spacing w:before="280" w:after="290" w:line="376" w:lineRule="auto"/>
      <w:outlineLvl w:val="4"/>
    </w:pPr>
    <w:rPr>
      <w:b/>
      <w:bCs/>
      <w:sz w:val="28"/>
      <w:szCs w:val="28"/>
    </w:rPr>
  </w:style>
  <w:style w:type="paragraph" w:styleId="7">
    <w:name w:val="heading 6"/>
    <w:basedOn w:val="1"/>
    <w:next w:val="1"/>
    <w:pPr>
      <w:keepNext/>
      <w:keepLines/>
      <w:spacing w:before="240" w:after="64" w:line="320" w:lineRule="auto"/>
      <w:outlineLvl w:val="5"/>
    </w:pPr>
    <w:rPr>
      <w:rFonts w:ascii="Arial" w:hAnsi="Arial" w:eastAsia="黑体"/>
      <w:b/>
      <w:bCs/>
      <w:sz w:val="24"/>
    </w:rPr>
  </w:style>
  <w:style w:type="paragraph" w:styleId="8">
    <w:name w:val="heading 7"/>
    <w:basedOn w:val="1"/>
    <w:next w:val="1"/>
    <w:pPr>
      <w:keepNext/>
      <w:keepLines/>
      <w:spacing w:before="240" w:after="64" w:line="320" w:lineRule="auto"/>
      <w:outlineLvl w:val="6"/>
    </w:pPr>
    <w:rPr>
      <w:b/>
      <w:bCs/>
      <w:sz w:val="24"/>
    </w:rPr>
  </w:style>
  <w:style w:type="paragraph" w:styleId="9">
    <w:name w:val="heading 8"/>
    <w:basedOn w:val="1"/>
    <w:next w:val="1"/>
    <w:pPr>
      <w:keepNext/>
      <w:keepLines/>
      <w:spacing w:before="240" w:after="64" w:line="320" w:lineRule="auto"/>
      <w:outlineLvl w:val="7"/>
    </w:pPr>
    <w:rPr>
      <w:rFonts w:ascii="Arial" w:hAnsi="Arial" w:eastAsia="黑体"/>
      <w:sz w:val="24"/>
    </w:rPr>
  </w:style>
  <w:style w:type="paragraph" w:styleId="10">
    <w:name w:val="heading 9"/>
    <w:basedOn w:val="1"/>
    <w:next w:val="1"/>
    <w:pPr>
      <w:keepNext/>
      <w:keepLines/>
      <w:spacing w:before="240" w:after="64" w:line="320" w:lineRule="auto"/>
      <w:outlineLvl w:val="8"/>
    </w:pPr>
    <w:rPr>
      <w:rFonts w:ascii="Arial" w:hAnsi="Arial" w:eastAsia="黑体"/>
      <w:szCs w:val="21"/>
    </w:rPr>
  </w:style>
  <w:style w:type="character" w:default="1" w:styleId="18">
    <w:name w:val="Default Paragraph Font"/>
  </w:style>
  <w:style w:type="paragraph" w:styleId="11">
    <w:name w:val="toc 7"/>
    <w:basedOn w:val="12"/>
    <w:next w:val="1"/>
  </w:style>
  <w:style w:type="paragraph" w:styleId="12">
    <w:name w:val="toc 6"/>
    <w:basedOn w:val="13"/>
    <w:next w:val="1"/>
  </w:style>
  <w:style w:type="paragraph" w:styleId="13">
    <w:name w:val="toc 5"/>
    <w:basedOn w:val="14"/>
    <w:next w:val="1"/>
  </w:style>
  <w:style w:type="paragraph" w:styleId="14">
    <w:name w:val="toc 4"/>
    <w:basedOn w:val="15"/>
    <w:next w:val="1"/>
  </w:style>
  <w:style w:type="paragraph" w:styleId="15">
    <w:name w:val="toc 3"/>
    <w:basedOn w:val="1"/>
    <w:next w:val="1"/>
  </w:style>
  <w:style w:type="paragraph" w:styleId="16">
    <w:name w:val="annotation text"/>
    <w:basedOn w:val="1"/>
    <w:link w:val="17"/>
    <w:pPr>
      <w:jc w:val="left"/>
    </w:pPr>
    <w:rPr>
      <w:kern w:val="2"/>
      <w:sz w:val="21"/>
    </w:rPr>
  </w:style>
  <w:style w:type="character" w:customStyle="1" w:styleId="17">
    <w:name w:val="批注文字 Char"/>
    <w:basedOn w:val="18"/>
    <w:link w:val="16"/>
    <w:semiHidden/>
    <w:rPr>
      <w:kern w:val="2"/>
      <w:sz w:val="21"/>
    </w:rPr>
  </w:style>
  <w:style w:type="paragraph" w:styleId="19">
    <w:name w:val="Body Text"/>
    <w:basedOn w:val="1"/>
    <w:pPr>
      <w:spacing w:after="120"/>
    </w:pPr>
  </w:style>
  <w:style w:type="paragraph" w:styleId="20">
    <w:name w:val="toc 8"/>
    <w:basedOn w:val="11"/>
    <w:next w:val="1"/>
  </w:style>
  <w:style w:type="paragraph" w:styleId="21">
    <w:name w:val="批注框文本"/>
    <w:basedOn w:val="1"/>
    <w:rPr>
      <w:sz w:val="18"/>
      <w:szCs w:val="18"/>
    </w:rPr>
  </w:style>
  <w:style w:type="paragraph" w:styleId="22">
    <w:name w:val="footer"/>
    <w:basedOn w:val="1"/>
    <w:link w:val="23"/>
    <w:pPr>
      <w:tabs>
        <w:tab w:val="center" w:pos="4153"/>
        <w:tab w:val="right" w:pos="8306"/>
      </w:tabs>
      <w:snapToGrid w:val="0"/>
      <w:ind w:right="210" w:rightChars="100"/>
      <w:jc w:val="right"/>
    </w:pPr>
    <w:rPr>
      <w:kern w:val="2"/>
      <w:sz w:val="18"/>
      <w:szCs w:val="18"/>
    </w:rPr>
  </w:style>
  <w:style w:type="character" w:customStyle="1" w:styleId="23">
    <w:name w:val="页脚 Char"/>
    <w:link w:val="22"/>
    <w:semiHidden/>
    <w:rPr>
      <w:kern w:val="2"/>
      <w:sz w:val="18"/>
      <w:szCs w:val="18"/>
    </w:rPr>
  </w:style>
  <w:style w:type="paragraph" w:styleId="24">
    <w:name w:val="header"/>
    <w:basedOn w:val="1"/>
    <w:link w:val="25"/>
    <w:pPr>
      <w:pBdr>
        <w:bottom w:val="single" w:color="auto" w:sz="6" w:space="1"/>
      </w:pBdr>
      <w:tabs>
        <w:tab w:val="center" w:pos="4153"/>
        <w:tab w:val="right" w:pos="8306"/>
      </w:tabs>
      <w:snapToGrid w:val="0"/>
      <w:jc w:val="center"/>
    </w:pPr>
    <w:rPr>
      <w:rFonts w:eastAsia="宋体"/>
      <w:kern w:val="2"/>
      <w:sz w:val="18"/>
      <w:szCs w:val="18"/>
      <w:lang w:val="en-US" w:eastAsia="zh-CN" w:bidi="ar-SA"/>
    </w:rPr>
  </w:style>
  <w:style w:type="character" w:customStyle="1" w:styleId="25">
    <w:name w:val="页眉 Char"/>
    <w:link w:val="24"/>
    <w:semiHidden/>
    <w:rPr>
      <w:rFonts w:eastAsia="宋体"/>
      <w:kern w:val="2"/>
      <w:sz w:val="18"/>
      <w:szCs w:val="18"/>
      <w:lang w:val="en-US" w:eastAsia="zh-CN" w:bidi="ar-SA"/>
    </w:rPr>
  </w:style>
  <w:style w:type="paragraph" w:styleId="26">
    <w:name w:val="toc 1"/>
    <w:next w:val="1"/>
    <w:pPr>
      <w:jc w:val="both"/>
    </w:pPr>
    <w:rPr>
      <w:rFonts w:ascii="宋体" w:hAnsi="Times New Roman" w:eastAsia="宋体" w:cs="Times New Roman"/>
      <w:sz w:val="21"/>
      <w:lang w:val="en-US" w:eastAsia="zh-CN" w:bidi="ar-SA"/>
    </w:rPr>
  </w:style>
  <w:style w:type="paragraph" w:styleId="27">
    <w:name w:val="footnote text"/>
    <w:basedOn w:val="1"/>
    <w:pPr>
      <w:snapToGrid w:val="0"/>
      <w:jc w:val="left"/>
    </w:pPr>
    <w:rPr>
      <w:sz w:val="18"/>
      <w:szCs w:val="18"/>
    </w:rPr>
  </w:style>
  <w:style w:type="paragraph" w:styleId="28">
    <w:name w:val="toc 2"/>
    <w:basedOn w:val="1"/>
    <w:next w:val="1"/>
  </w:style>
  <w:style w:type="paragraph" w:styleId="29">
    <w:name w:val="toc 9"/>
    <w:basedOn w:val="20"/>
    <w:next w:val="1"/>
  </w:style>
  <w:style w:type="paragraph" w:styleId="30">
    <w:name w:val="Title"/>
    <w:basedOn w:val="1"/>
    <w:link w:val="31"/>
    <w:pPr>
      <w:spacing w:before="240" w:after="60"/>
      <w:jc w:val="center"/>
      <w:outlineLvl w:val="0"/>
    </w:pPr>
    <w:rPr>
      <w:rFonts w:ascii="Arial" w:hAnsi="Arial" w:eastAsia="宋体" w:cs="Arial"/>
      <w:b/>
      <w:bCs/>
      <w:kern w:val="2"/>
      <w:sz w:val="32"/>
      <w:szCs w:val="32"/>
      <w:lang w:val="en-US" w:eastAsia="zh-CN" w:bidi="ar-SA"/>
    </w:rPr>
  </w:style>
  <w:style w:type="character" w:customStyle="1" w:styleId="31">
    <w:name w:val="标题 Char"/>
    <w:link w:val="30"/>
    <w:semiHidden/>
    <w:rPr>
      <w:rFonts w:ascii="Arial" w:hAnsi="Arial" w:eastAsia="宋体" w:cs="Arial"/>
      <w:b/>
      <w:bCs/>
      <w:kern w:val="2"/>
      <w:sz w:val="32"/>
      <w:szCs w:val="32"/>
      <w:lang w:val="en-US" w:eastAsia="zh-CN" w:bidi="ar-SA"/>
    </w:rPr>
  </w:style>
  <w:style w:type="character" w:styleId="32">
    <w:name w:val="FollowedHyperlink"/>
    <w:basedOn w:val="18"/>
    <w:rPr>
      <w:color w:val="800080"/>
      <w:u w:val="none"/>
    </w:rPr>
  </w:style>
  <w:style w:type="character" w:styleId="33">
    <w:name w:val="Emphasis"/>
    <w:basedOn w:val="18"/>
    <w:rPr>
      <w:i/>
    </w:rPr>
  </w:style>
  <w:style w:type="character" w:styleId="34">
    <w:name w:val="Hyperlink"/>
    <w:rPr>
      <w:rFonts w:ascii="Times New Roman" w:hAnsi="Times New Roman" w:eastAsia="宋体"/>
      <w:color w:val="auto"/>
      <w:spacing w:val="0"/>
      <w:w w:val="100"/>
      <w:position w:val="0"/>
      <w:sz w:val="21"/>
      <w:u w:val="none"/>
    </w:rPr>
  </w:style>
  <w:style w:type="character" w:styleId="35">
    <w:name w:val="footnote reference"/>
    <w:rPr>
      <w:vertAlign w:val="superscript"/>
    </w:rPr>
  </w:style>
  <w:style w:type="paragraph" w:customStyle="1" w:styleId="36">
    <w:name w:val="Normal Indent"/>
    <w:basedOn w:val="1"/>
    <w:pPr>
      <w:ind w:firstLine="420"/>
    </w:pPr>
  </w:style>
  <w:style w:type="paragraph" w:customStyle="1" w:styleId="37">
    <w:name w:val="Document Map"/>
    <w:basedOn w:val="1"/>
    <w:pPr>
      <w:shd w:val="clear" w:color="auto" w:fill="000080"/>
    </w:pPr>
  </w:style>
  <w:style w:type="paragraph" w:customStyle="1" w:styleId="38">
    <w:name w:val="toa heading"/>
    <w:basedOn w:val="1"/>
    <w:next w:val="1"/>
    <w:pPr>
      <w:widowControl/>
      <w:tabs>
        <w:tab w:val="left" w:pos="720"/>
      </w:tabs>
    </w:pPr>
    <w:rPr>
      <w:b/>
      <w:kern w:val="0"/>
      <w:sz w:val="22"/>
    </w:rPr>
  </w:style>
  <w:style w:type="paragraph" w:customStyle="1" w:styleId="39">
    <w:name w:val="Body Text Indent"/>
    <w:basedOn w:val="1"/>
    <w:pPr>
      <w:ind w:left="420" w:hanging="420" w:hangingChars="200"/>
    </w:pPr>
  </w:style>
  <w:style w:type="paragraph" w:customStyle="1" w:styleId="40">
    <w:name w:val="HTML Address"/>
    <w:basedOn w:val="1"/>
    <w:rPr>
      <w:i/>
      <w:iCs/>
    </w:rPr>
  </w:style>
  <w:style w:type="paragraph" w:customStyle="1" w:styleId="41">
    <w:name w:val="Plain Text"/>
    <w:basedOn w:val="1"/>
    <w:rPr>
      <w:rFonts w:ascii="宋体" w:hAnsi="Courier New"/>
      <w:szCs w:val="21"/>
    </w:rPr>
  </w:style>
  <w:style w:type="paragraph" w:customStyle="1" w:styleId="42">
    <w:name w:val="Date"/>
    <w:basedOn w:val="1"/>
    <w:next w:val="1"/>
    <w:rPr>
      <w:rFonts w:ascii="黑体" w:eastAsia="黑体"/>
      <w:b/>
    </w:rPr>
  </w:style>
  <w:style w:type="paragraph" w:customStyle="1" w:styleId="43">
    <w:name w:val="Body Text Indent 3"/>
    <w:basedOn w:val="1"/>
    <w:pPr>
      <w:spacing w:after="120"/>
      <w:ind w:left="420" w:leftChars="200"/>
    </w:pPr>
    <w:rPr>
      <w:sz w:val="16"/>
      <w:szCs w:val="16"/>
    </w:rPr>
  </w:style>
  <w:style w:type="paragraph" w:customStyle="1" w:styleId="44">
    <w:name w:val="HTML Preformatted"/>
    <w:basedOn w:val="1"/>
    <w:rPr>
      <w:rFonts w:ascii="Courier New" w:hAnsi="Courier New" w:cs="Courier New"/>
      <w:sz w:val="20"/>
    </w:rPr>
  </w:style>
  <w:style w:type="paragraph" w:customStyle="1" w:styleId="45">
    <w:name w:val="Normal (Web)"/>
    <w:basedOn w:val="1"/>
    <w:pPr>
      <w:widowControl/>
      <w:spacing w:before="100" w:beforeAutospacing="1" w:after="100" w:afterAutospacing="1"/>
      <w:jc w:val="left"/>
    </w:pPr>
    <w:rPr>
      <w:rFonts w:ascii="宋体" w:hAnsi="宋体" w:cs="宋体"/>
      <w:kern w:val="0"/>
      <w:sz w:val="24"/>
      <w:szCs w:val="24"/>
    </w:rPr>
  </w:style>
  <w:style w:type="paragraph" w:customStyle="1" w:styleId="46">
    <w:name w:val="annotation subject"/>
    <w:basedOn w:val="16"/>
    <w:next w:val="16"/>
    <w:rPr>
      <w:b/>
      <w:bCs/>
    </w:rPr>
  </w:style>
  <w:style w:type="paragraph" w:customStyle="1" w:styleId="47">
    <w:name w:val="段"/>
    <w:link w:val="127"/>
    <w:pPr>
      <w:ind w:firstLine="200" w:firstLineChars="200"/>
      <w:jc w:val="both"/>
    </w:pPr>
    <w:rPr>
      <w:rFonts w:ascii="宋体"/>
      <w:sz w:val="21"/>
      <w:lang w:val="en-US" w:eastAsia="zh-CN" w:bidi="ar-SA"/>
    </w:rPr>
  </w:style>
  <w:style w:type="paragraph" w:customStyle="1" w:styleId="48">
    <w:name w:val="示例"/>
    <w:next w:val="47"/>
    <w:pPr>
      <w:numPr>
        <w:ilvl w:val="0"/>
        <w:numId w:val="1"/>
      </w:numPr>
      <w:tabs>
        <w:tab w:val="left" w:pos="816"/>
        <w:tab w:val="clear" w:pos="1120"/>
      </w:tabs>
      <w:ind w:firstLine="419" w:firstLineChars="233"/>
      <w:jc w:val="both"/>
    </w:pPr>
    <w:rPr>
      <w:rFonts w:ascii="宋体" w:hAnsi="Times New Roman" w:eastAsia="宋体" w:cs="Times New Roman"/>
      <w:sz w:val="18"/>
      <w:lang w:val="en-US" w:eastAsia="zh-CN" w:bidi="ar-SA"/>
    </w:rPr>
  </w:style>
  <w:style w:type="paragraph" w:customStyle="1" w:styleId="49">
    <w:name w:val="二级无标题条"/>
    <w:basedOn w:val="1"/>
    <w:pPr>
      <w:numPr>
        <w:ilvl w:val="3"/>
        <w:numId w:val="2"/>
      </w:numPr>
    </w:pPr>
  </w:style>
  <w:style w:type="paragraph" w:customStyle="1" w:styleId="50">
    <w:name w:val="其他发布部门"/>
    <w:basedOn w:val="51"/>
    <w:pPr>
      <w:spacing w:line="0" w:lineRule="atLeast"/>
    </w:pPr>
    <w:rPr>
      <w:rFonts w:ascii="黑体" w:eastAsia="黑体"/>
      <w:b w:val="0"/>
    </w:rPr>
  </w:style>
  <w:style w:type="paragraph" w:customStyle="1" w:styleId="51">
    <w:name w:val="发布部门"/>
    <w:next w:val="47"/>
    <w:pPr>
      <w:jc w:val="center"/>
    </w:pPr>
    <w:rPr>
      <w:rFonts w:ascii="宋体" w:hAnsi="Times New Roman" w:eastAsia="宋体" w:cs="Times New Roman"/>
      <w:b/>
      <w:spacing w:val="20"/>
      <w:w w:val="135"/>
      <w:sz w:val="36"/>
      <w:lang w:val="en-US" w:eastAsia="zh-CN" w:bidi="ar-SA"/>
    </w:rPr>
  </w:style>
  <w:style w:type="paragraph" w:customStyle="1" w:styleId="52">
    <w:name w:val="标准书眉_偶数页"/>
    <w:basedOn w:val="53"/>
    <w:next w:val="1"/>
    <w:pPr>
      <w:tabs>
        <w:tab w:val="center" w:pos="4154"/>
        <w:tab w:val="right" w:pos="8306"/>
      </w:tabs>
      <w:jc w:val="left"/>
    </w:pPr>
  </w:style>
  <w:style w:type="paragraph" w:customStyle="1" w:styleId="53">
    <w:name w:val="标准书眉_奇数页"/>
    <w:next w:val="1"/>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54">
    <w:name w:val="附录四级条标题"/>
    <w:basedOn w:val="55"/>
    <w:next w:val="47"/>
    <w:pPr>
      <w:numPr>
        <w:numId w:val="0"/>
      </w:numPr>
      <w:outlineLvl w:val="5"/>
    </w:pPr>
  </w:style>
  <w:style w:type="paragraph" w:customStyle="1" w:styleId="55">
    <w:name w:val="附录三级条标题"/>
    <w:basedOn w:val="56"/>
    <w:next w:val="47"/>
    <w:pPr>
      <w:numPr>
        <w:numId w:val="0"/>
      </w:numPr>
      <w:outlineLvl w:val="4"/>
    </w:pPr>
  </w:style>
  <w:style w:type="paragraph" w:customStyle="1" w:styleId="56">
    <w:name w:val="附录二级条标题"/>
    <w:basedOn w:val="57"/>
    <w:next w:val="47"/>
    <w:pPr>
      <w:numPr>
        <w:numId w:val="0"/>
      </w:numPr>
      <w:outlineLvl w:val="3"/>
    </w:pPr>
  </w:style>
  <w:style w:type="paragraph" w:customStyle="1" w:styleId="57">
    <w:name w:val="附录一级条标题"/>
    <w:basedOn w:val="58"/>
    <w:next w:val="47"/>
    <w:pPr>
      <w:numPr>
        <w:ilvl w:val="1"/>
        <w:numId w:val="0"/>
      </w:numPr>
      <w:autoSpaceDN w:val="0"/>
      <w:outlineLvl w:val="2"/>
    </w:pPr>
  </w:style>
  <w:style w:type="paragraph" w:customStyle="1" w:styleId="58">
    <w:name w:val="附录章标题"/>
    <w:next w:val="47"/>
    <w:pPr>
      <w:numPr>
        <w:ilvl w:val="1"/>
        <w:numId w:val="3"/>
      </w:num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59">
    <w:name w:val="一级条标题"/>
    <w:basedOn w:val="60"/>
    <w:next w:val="47"/>
    <w:pPr>
      <w:outlineLvl w:val="2"/>
    </w:pPr>
  </w:style>
  <w:style w:type="paragraph" w:customStyle="1" w:styleId="60">
    <w:name w:val="章标题"/>
    <w:next w:val="47"/>
    <w:pPr>
      <w:spacing w:beforeLines="50" w:afterLines="50"/>
      <w:jc w:val="both"/>
      <w:outlineLvl w:val="1"/>
    </w:pPr>
    <w:rPr>
      <w:rFonts w:ascii="黑体" w:hAnsi="Times New Roman" w:eastAsia="黑体" w:cs="Times New Roman"/>
      <w:sz w:val="21"/>
      <w:lang w:val="en-US" w:eastAsia="zh-CN" w:bidi="ar-SA"/>
    </w:rPr>
  </w:style>
  <w:style w:type="paragraph" w:customStyle="1" w:styleId="61">
    <w:name w:val="前言、引言标题"/>
    <w:next w:val="1"/>
    <w:pPr>
      <w:numPr>
        <w:ilvl w:val="0"/>
        <w:numId w:val="4"/>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62">
    <w:name w:val="标准书脚_偶数页"/>
    <w:pPr>
      <w:spacing w:before="120"/>
    </w:pPr>
    <w:rPr>
      <w:rFonts w:ascii="Times New Roman" w:hAnsi="Times New Roman" w:eastAsia="宋体" w:cs="Times New Roman"/>
      <w:sz w:val="18"/>
      <w:lang w:val="en-US" w:eastAsia="zh-CN" w:bidi="ar-SA"/>
    </w:rPr>
  </w:style>
  <w:style w:type="paragraph" w:customStyle="1" w:styleId="63">
    <w:name w:val="三级条标题"/>
    <w:basedOn w:val="64"/>
    <w:next w:val="47"/>
    <w:pPr>
      <w:numPr>
        <w:ilvl w:val="4"/>
        <w:numId w:val="4"/>
      </w:numPr>
      <w:outlineLvl w:val="4"/>
    </w:pPr>
  </w:style>
  <w:style w:type="paragraph" w:customStyle="1" w:styleId="64">
    <w:name w:val="二级条标题"/>
    <w:basedOn w:val="59"/>
    <w:next w:val="47"/>
    <w:pPr>
      <w:outlineLvl w:val="3"/>
    </w:pPr>
  </w:style>
  <w:style w:type="paragraph" w:customStyle="1" w:styleId="65">
    <w:name w:val="标准称谓"/>
    <w:next w:val="1"/>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66">
    <w:name w:val="附录五级条标题"/>
    <w:basedOn w:val="54"/>
    <w:next w:val="47"/>
    <w:pPr>
      <w:numPr>
        <w:numId w:val="0"/>
      </w:numPr>
      <w:outlineLvl w:val="6"/>
    </w:pPr>
  </w:style>
  <w:style w:type="paragraph" w:customStyle="1" w:styleId="67">
    <w:name w:val="标准书眉一"/>
    <w:pPr>
      <w:jc w:val="both"/>
    </w:pPr>
    <w:rPr>
      <w:rFonts w:ascii="Times New Roman" w:hAnsi="Times New Roman" w:eastAsia="宋体" w:cs="Times New Roman"/>
      <w:lang w:val="en-US" w:eastAsia="zh-CN" w:bidi="ar-SA"/>
    </w:rPr>
  </w:style>
  <w:style w:type="paragraph" w:customStyle="1" w:styleId="68">
    <w:name w:val="标准标志"/>
    <w:next w:val="1"/>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69">
    <w:name w:val="标准书脚_奇数页"/>
    <w:pPr>
      <w:spacing w:before="120"/>
      <w:jc w:val="right"/>
    </w:pPr>
    <w:rPr>
      <w:rFonts w:ascii="Times New Roman" w:hAnsi="Times New Roman" w:eastAsia="宋体" w:cs="Times New Roman"/>
      <w:sz w:val="18"/>
      <w:lang w:val="en-US" w:eastAsia="zh-CN" w:bidi="ar-SA"/>
    </w:rPr>
  </w:style>
  <w:style w:type="paragraph" w:customStyle="1" w:styleId="70">
    <w:name w:val="其他标准称谓"/>
    <w:pPr>
      <w:spacing w:line="0" w:lineRule="atLeast"/>
      <w:jc w:val="distribute"/>
    </w:pPr>
    <w:rPr>
      <w:rFonts w:ascii="黑体" w:hAnsi="宋体" w:eastAsia="黑体" w:cs="Times New Roman"/>
      <w:sz w:val="52"/>
      <w:lang w:val="en-US" w:eastAsia="zh-CN" w:bidi="ar-SA"/>
    </w:rPr>
  </w:style>
  <w:style w:type="paragraph" w:customStyle="1" w:styleId="71">
    <w:name w:val="参考文献、索引标题"/>
    <w:basedOn w:val="61"/>
    <w:next w:val="1"/>
    <w:pPr>
      <w:numPr>
        <w:ilvl w:val="0"/>
        <w:numId w:val="0"/>
      </w:numPr>
      <w:spacing w:after="200"/>
    </w:pPr>
    <w:rPr>
      <w:sz w:val="21"/>
    </w:rPr>
  </w:style>
  <w:style w:type="paragraph" w:customStyle="1" w:styleId="72">
    <w:name w:val="发布日期"/>
    <w:rPr>
      <w:rFonts w:ascii="Times New Roman" w:hAnsi="Times New Roman" w:eastAsia="黑体" w:cs="Times New Roman"/>
      <w:sz w:val="28"/>
      <w:lang w:val="en-US" w:eastAsia="zh-CN" w:bidi="ar-SA"/>
    </w:rPr>
  </w:style>
  <w:style w:type="paragraph" w:customStyle="1" w:styleId="73">
    <w:name w:val="封面标准号1"/>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4">
    <w:name w:val="实施日期"/>
    <w:basedOn w:val="72"/>
    <w:pPr>
      <w:jc w:val="right"/>
    </w:pPr>
  </w:style>
  <w:style w:type="paragraph" w:customStyle="1" w:styleId="75">
    <w:name w:val="封面标准号2"/>
    <w:basedOn w:val="73"/>
    <w:pPr>
      <w:adjustRightInd w:val="0"/>
      <w:spacing w:before="357" w:line="280" w:lineRule="exact"/>
    </w:pPr>
  </w:style>
  <w:style w:type="paragraph" w:customStyle="1" w:styleId="76">
    <w:name w:val="封面标准代替信息"/>
    <w:basedOn w:val="75"/>
    <w:pPr>
      <w:spacing w:before="57"/>
    </w:pPr>
    <w:rPr>
      <w:rFonts w:ascii="宋体"/>
      <w:sz w:val="21"/>
    </w:rPr>
  </w:style>
  <w:style w:type="paragraph" w:customStyle="1" w:styleId="77">
    <w:name w:val="封面标准名称"/>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8">
    <w:name w:val="封面标准文稿编辑信息"/>
    <w:pPr>
      <w:spacing w:before="180" w:line="180" w:lineRule="exact"/>
      <w:jc w:val="center"/>
    </w:pPr>
    <w:rPr>
      <w:rFonts w:ascii="宋体" w:hAnsi="Times New Roman" w:eastAsia="宋体" w:cs="Times New Roman"/>
      <w:sz w:val="21"/>
      <w:lang w:val="en-US" w:eastAsia="zh-CN" w:bidi="ar-SA"/>
    </w:rPr>
  </w:style>
  <w:style w:type="paragraph" w:customStyle="1" w:styleId="79">
    <w:name w:val="封面标准文稿类别"/>
    <w:pPr>
      <w:spacing w:before="440" w:line="400" w:lineRule="exact"/>
      <w:jc w:val="center"/>
    </w:pPr>
    <w:rPr>
      <w:rFonts w:ascii="宋体" w:hAnsi="Times New Roman" w:eastAsia="宋体" w:cs="Times New Roman"/>
      <w:sz w:val="24"/>
      <w:lang w:val="en-US" w:eastAsia="zh-CN" w:bidi="ar-SA"/>
    </w:rPr>
  </w:style>
  <w:style w:type="paragraph" w:customStyle="1" w:styleId="80">
    <w:name w:val="封面标准英文名称"/>
    <w:basedOn w:val="77"/>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81">
    <w:name w:val="封面一致性程度标识"/>
    <w:pPr>
      <w:spacing w:before="440" w:line="400" w:lineRule="exact"/>
      <w:jc w:val="center"/>
    </w:pPr>
    <w:rPr>
      <w:rFonts w:ascii="宋体" w:hAnsi="Times New Roman" w:eastAsia="宋体" w:cs="Times New Roman"/>
      <w:sz w:val="28"/>
      <w:lang w:val="en-US" w:eastAsia="zh-CN" w:bidi="ar-SA"/>
    </w:rPr>
  </w:style>
  <w:style w:type="paragraph" w:customStyle="1" w:styleId="82">
    <w:name w:val="封面正文"/>
    <w:pPr>
      <w:jc w:val="both"/>
    </w:pPr>
    <w:rPr>
      <w:rFonts w:ascii="Times New Roman" w:hAnsi="Times New Roman" w:eastAsia="宋体" w:cs="Times New Roman"/>
      <w:lang w:val="en-US" w:eastAsia="zh-CN" w:bidi="ar-SA"/>
    </w:rPr>
  </w:style>
  <w:style w:type="paragraph" w:customStyle="1" w:styleId="83">
    <w:name w:val="附录标识"/>
    <w:basedOn w:val="61"/>
    <w:pPr>
      <w:numPr>
        <w:ilvl w:val="0"/>
        <w:numId w:val="3"/>
      </w:numPr>
      <w:tabs>
        <w:tab w:val="left" w:pos="6405"/>
      </w:tabs>
      <w:spacing w:after="200"/>
    </w:pPr>
    <w:rPr>
      <w:sz w:val="21"/>
    </w:rPr>
  </w:style>
  <w:style w:type="paragraph" w:customStyle="1" w:styleId="84">
    <w:name w:val="附录表标题"/>
    <w:next w:val="47"/>
    <w:pPr>
      <w:jc w:val="center"/>
      <w:textAlignment w:val="baseline"/>
    </w:pPr>
    <w:rPr>
      <w:rFonts w:ascii="黑体" w:hAnsi="Times New Roman" w:eastAsia="黑体" w:cs="Times New Roman"/>
      <w:kern w:val="21"/>
      <w:sz w:val="21"/>
      <w:lang w:val="en-US" w:eastAsia="zh-CN" w:bidi="ar-SA"/>
    </w:rPr>
  </w:style>
  <w:style w:type="paragraph" w:customStyle="1" w:styleId="85">
    <w:name w:val="附录图标题"/>
    <w:next w:val="47"/>
    <w:pPr>
      <w:jc w:val="center"/>
    </w:pPr>
    <w:rPr>
      <w:rFonts w:ascii="黑体" w:hAnsi="Times New Roman" w:eastAsia="黑体" w:cs="Times New Roman"/>
      <w:sz w:val="21"/>
      <w:lang w:val="en-US" w:eastAsia="zh-CN" w:bidi="ar-SA"/>
    </w:rPr>
  </w:style>
  <w:style w:type="paragraph" w:customStyle="1" w:styleId="86">
    <w:name w:val="列项——"/>
    <w:pPr>
      <w:widowControl w:val="0"/>
      <w:numPr>
        <w:ilvl w:val="0"/>
        <w:numId w:val="5"/>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87">
    <w:name w:val="列项·"/>
    <w:pPr>
      <w:numPr>
        <w:ilvl w:val="0"/>
        <w:numId w:val="6"/>
      </w:numPr>
      <w:tabs>
        <w:tab w:val="left" w:pos="840"/>
        <w:tab w:val="clear" w:pos="1140"/>
      </w:tabs>
      <w:ind w:left="840" w:leftChars="200" w:hanging="420" w:hangingChars="200"/>
      <w:jc w:val="both"/>
    </w:pPr>
    <w:rPr>
      <w:rFonts w:ascii="宋体" w:hAnsi="Times New Roman" w:eastAsia="宋体" w:cs="Times New Roman"/>
      <w:sz w:val="21"/>
      <w:lang w:val="en-US" w:eastAsia="zh-CN" w:bidi="ar-SA"/>
    </w:rPr>
  </w:style>
  <w:style w:type="paragraph" w:customStyle="1" w:styleId="88">
    <w:name w:val="目次、标准名称标题"/>
    <w:basedOn w:val="61"/>
    <w:next w:val="47"/>
    <w:pPr>
      <w:numPr>
        <w:ilvl w:val="0"/>
        <w:numId w:val="0"/>
      </w:numPr>
      <w:spacing w:line="460" w:lineRule="exact"/>
    </w:pPr>
  </w:style>
  <w:style w:type="paragraph" w:customStyle="1" w:styleId="89">
    <w:name w:val="目次、索引正文"/>
    <w:pPr>
      <w:spacing w:line="320" w:lineRule="exact"/>
      <w:jc w:val="both"/>
    </w:pPr>
    <w:rPr>
      <w:rFonts w:ascii="宋体" w:hAnsi="Times New Roman" w:eastAsia="宋体" w:cs="Times New Roman"/>
      <w:sz w:val="21"/>
      <w:lang w:val="en-US" w:eastAsia="zh-CN" w:bidi="ar-SA"/>
    </w:rPr>
  </w:style>
  <w:style w:type="paragraph" w:customStyle="1" w:styleId="90">
    <w:name w:val="三级无标题条"/>
    <w:basedOn w:val="1"/>
    <w:pPr>
      <w:numPr>
        <w:ilvl w:val="4"/>
        <w:numId w:val="2"/>
      </w:numPr>
    </w:pPr>
  </w:style>
  <w:style w:type="paragraph" w:customStyle="1" w:styleId="91">
    <w:name w:val="数字编号列项（二级）"/>
    <w:pPr>
      <w:ind w:left="1260" w:leftChars="400" w:hanging="420" w:hangingChars="200"/>
      <w:jc w:val="both"/>
    </w:pPr>
    <w:rPr>
      <w:rFonts w:ascii="宋体" w:hAnsi="Times New Roman" w:eastAsia="宋体" w:cs="Times New Roman"/>
      <w:sz w:val="21"/>
      <w:lang w:val="en-US" w:eastAsia="zh-CN" w:bidi="ar-SA"/>
    </w:rPr>
  </w:style>
  <w:style w:type="paragraph" w:customStyle="1" w:styleId="92">
    <w:name w:val="四级条标题"/>
    <w:basedOn w:val="63"/>
    <w:next w:val="47"/>
    <w:pPr>
      <w:numPr>
        <w:ilvl w:val="4"/>
        <w:numId w:val="0"/>
      </w:numPr>
      <w:outlineLvl w:val="5"/>
    </w:pPr>
  </w:style>
  <w:style w:type="paragraph" w:customStyle="1" w:styleId="93">
    <w:name w:val="四级无标题条"/>
    <w:basedOn w:val="1"/>
    <w:pPr>
      <w:numPr>
        <w:ilvl w:val="5"/>
        <w:numId w:val="2"/>
      </w:numPr>
    </w:pPr>
  </w:style>
  <w:style w:type="paragraph" w:customStyle="1" w:styleId="94">
    <w:name w:val="条文脚注"/>
    <w:basedOn w:val="27"/>
    <w:pPr>
      <w:ind w:left="780" w:leftChars="200" w:hanging="360" w:hangingChars="200"/>
      <w:jc w:val="both"/>
    </w:pPr>
    <w:rPr>
      <w:rFonts w:ascii="宋体"/>
    </w:rPr>
  </w:style>
  <w:style w:type="paragraph" w:customStyle="1" w:styleId="95">
    <w:name w:val="图表脚注"/>
    <w:next w:val="47"/>
    <w:pPr>
      <w:ind w:left="300" w:leftChars="200" w:hanging="100" w:hangingChars="100"/>
      <w:jc w:val="both"/>
    </w:pPr>
    <w:rPr>
      <w:rFonts w:ascii="宋体" w:hAnsi="Times New Roman" w:eastAsia="宋体" w:cs="Times New Roman"/>
      <w:sz w:val="18"/>
      <w:lang w:val="en-US" w:eastAsia="zh-CN" w:bidi="ar-SA"/>
    </w:rPr>
  </w:style>
  <w:style w:type="paragraph" w:customStyle="1" w:styleId="96">
    <w:name w:val="文献分类号"/>
    <w:pPr>
      <w:widowControl w:val="0"/>
      <w:textAlignment w:val="center"/>
    </w:pPr>
    <w:rPr>
      <w:rFonts w:ascii="Times New Roman" w:hAnsi="Times New Roman" w:eastAsia="黑体" w:cs="Times New Roman"/>
      <w:sz w:val="21"/>
      <w:lang w:val="en-US" w:eastAsia="zh-CN" w:bidi="ar-SA"/>
    </w:rPr>
  </w:style>
  <w:style w:type="paragraph" w:customStyle="1" w:styleId="97">
    <w:name w:val="无标题条"/>
    <w:next w:val="47"/>
    <w:pPr>
      <w:jc w:val="both"/>
    </w:pPr>
    <w:rPr>
      <w:rFonts w:ascii="Times New Roman" w:hAnsi="Times New Roman" w:eastAsia="宋体" w:cs="Times New Roman"/>
      <w:sz w:val="21"/>
      <w:lang w:val="en-US" w:eastAsia="zh-CN" w:bidi="ar-SA"/>
    </w:rPr>
  </w:style>
  <w:style w:type="paragraph" w:customStyle="1" w:styleId="98">
    <w:name w:val="五级条标题"/>
    <w:basedOn w:val="92"/>
    <w:next w:val="47"/>
    <w:pPr>
      <w:numPr>
        <w:numId w:val="0"/>
      </w:numPr>
      <w:outlineLvl w:val="6"/>
    </w:pPr>
  </w:style>
  <w:style w:type="paragraph" w:customStyle="1" w:styleId="99">
    <w:name w:val="五级无标题条"/>
    <w:basedOn w:val="1"/>
    <w:pPr>
      <w:numPr>
        <w:ilvl w:val="6"/>
        <w:numId w:val="2"/>
      </w:numPr>
    </w:pPr>
  </w:style>
  <w:style w:type="paragraph" w:customStyle="1" w:styleId="100">
    <w:name w:val="一级无标题条"/>
    <w:basedOn w:val="1"/>
  </w:style>
  <w:style w:type="paragraph" w:customStyle="1" w:styleId="101">
    <w:name w:val="正文表标题"/>
    <w:next w:val="47"/>
    <w:pPr>
      <w:numPr>
        <w:ilvl w:val="0"/>
        <w:numId w:val="7"/>
      </w:numPr>
      <w:jc w:val="center"/>
    </w:pPr>
    <w:rPr>
      <w:rFonts w:ascii="黑体" w:hAnsi="Times New Roman" w:eastAsia="黑体" w:cs="Times New Roman"/>
      <w:sz w:val="21"/>
      <w:lang w:val="en-US" w:eastAsia="zh-CN" w:bidi="ar-SA"/>
    </w:rPr>
  </w:style>
  <w:style w:type="paragraph" w:customStyle="1" w:styleId="102">
    <w:name w:val="正文图标题"/>
    <w:next w:val="47"/>
    <w:pPr>
      <w:numPr>
        <w:ilvl w:val="0"/>
        <w:numId w:val="8"/>
      </w:numPr>
      <w:jc w:val="center"/>
    </w:pPr>
    <w:rPr>
      <w:rFonts w:ascii="黑体" w:hAnsi="Times New Roman" w:eastAsia="黑体" w:cs="Times New Roman"/>
      <w:sz w:val="21"/>
      <w:lang w:val="en-US" w:eastAsia="zh-CN" w:bidi="ar-SA"/>
    </w:rPr>
  </w:style>
  <w:style w:type="paragraph" w:customStyle="1" w:styleId="103">
    <w:name w:val="注："/>
    <w:next w:val="47"/>
    <w:pPr>
      <w:widowControl w:val="0"/>
      <w:numPr>
        <w:ilvl w:val="0"/>
        <w:numId w:val="9"/>
      </w:numPr>
      <w:autoSpaceDE w:val="0"/>
      <w:autoSpaceDN w:val="0"/>
      <w:jc w:val="both"/>
    </w:pPr>
    <w:rPr>
      <w:rFonts w:ascii="宋体" w:hAnsi="Times New Roman" w:eastAsia="宋体" w:cs="Times New Roman"/>
      <w:sz w:val="18"/>
      <w:lang w:val="en-US" w:eastAsia="zh-CN" w:bidi="ar-SA"/>
    </w:rPr>
  </w:style>
  <w:style w:type="paragraph" w:customStyle="1" w:styleId="104">
    <w:name w:val="注×："/>
    <w:pPr>
      <w:widowControl w:val="0"/>
      <w:numPr>
        <w:ilvl w:val="0"/>
        <w:numId w:val="10"/>
      </w:numPr>
      <w:tabs>
        <w:tab w:val="left" w:pos="630"/>
        <w:tab w:val="clear" w:pos="900"/>
      </w:tabs>
      <w:autoSpaceDE w:val="0"/>
      <w:autoSpaceDN w:val="0"/>
      <w:jc w:val="both"/>
    </w:pPr>
    <w:rPr>
      <w:rFonts w:ascii="宋体" w:hAnsi="Times New Roman" w:eastAsia="宋体" w:cs="Times New Roman"/>
      <w:sz w:val="18"/>
      <w:lang w:val="en-US" w:eastAsia="zh-CN" w:bidi="ar-SA"/>
    </w:rPr>
  </w:style>
  <w:style w:type="paragraph" w:customStyle="1" w:styleId="105">
    <w:name w:val="字母编号列项（一级）"/>
    <w:pPr>
      <w:ind w:left="840" w:leftChars="200" w:hanging="420" w:hangingChars="200"/>
      <w:jc w:val="both"/>
    </w:pPr>
    <w:rPr>
      <w:rFonts w:ascii="宋体" w:hAnsi="Times New Roman" w:eastAsia="宋体" w:cs="Times New Roman"/>
      <w:sz w:val="21"/>
      <w:lang w:val="en-US" w:eastAsia="zh-CN" w:bidi="ar-SA"/>
    </w:rPr>
  </w:style>
  <w:style w:type="paragraph" w:customStyle="1" w:styleId="106">
    <w:name w:val="Char Char Char Char Char Char1"/>
    <w:basedOn w:val="1"/>
    <w:pPr>
      <w:widowControl/>
      <w:spacing w:after="160" w:line="240" w:lineRule="exact"/>
      <w:jc w:val="left"/>
    </w:pPr>
    <w:rPr>
      <w:rFonts w:ascii="Verdana" w:hAnsi="Verdana" w:eastAsia="仿宋_GB2312"/>
      <w:kern w:val="0"/>
      <w:sz w:val="24"/>
      <w:lang w:eastAsia="en-US"/>
    </w:rPr>
  </w:style>
  <w:style w:type="paragraph" w:customStyle="1" w:styleId="107">
    <w:name w:val="Char"/>
    <w:basedOn w:val="1"/>
    <w:pPr>
      <w:widowControl/>
      <w:spacing w:after="160" w:line="240" w:lineRule="exact"/>
      <w:jc w:val="left"/>
    </w:pPr>
    <w:rPr>
      <w:rFonts w:ascii="Verdana" w:hAnsi="Verdana" w:eastAsia="仿宋_GB2312"/>
      <w:kern w:val="0"/>
      <w:sz w:val="24"/>
      <w:lang w:eastAsia="en-US"/>
    </w:rPr>
  </w:style>
  <w:style w:type="paragraph" w:customStyle="1" w:styleId="108">
    <w:name w:val="_Style 123"/>
    <w:next w:val="1"/>
    <w:pPr>
      <w:widowControl w:val="0"/>
      <w:jc w:val="both"/>
    </w:pPr>
    <w:rPr>
      <w:rFonts w:ascii="Times New Roman" w:hAnsi="Times New Roman" w:eastAsia="宋体" w:cs="Times New Roman"/>
      <w:kern w:val="2"/>
      <w:sz w:val="21"/>
      <w:lang w:val="en-US" w:eastAsia="zh-CN" w:bidi="ar-SA"/>
    </w:rPr>
  </w:style>
  <w:style w:type="paragraph" w:customStyle="1" w:styleId="109">
    <w:name w:val="修订1"/>
    <w:rPr>
      <w:rFonts w:ascii="Times New Roman" w:hAnsi="Times New Roman" w:eastAsia="宋体" w:cs="Times New Roman"/>
      <w:kern w:val="2"/>
      <w:sz w:val="21"/>
      <w:lang w:val="en-US" w:eastAsia="zh-CN" w:bidi="ar-SA"/>
    </w:rPr>
  </w:style>
  <w:style w:type="paragraph" w:customStyle="1" w:styleId="110">
    <w:name w:val="列出段落1"/>
    <w:basedOn w:val="1"/>
    <w:pPr>
      <w:ind w:firstLine="420" w:firstLineChars="200"/>
    </w:pPr>
    <w:rPr>
      <w:rFonts w:ascii="Calibri" w:hAnsi="Calibri"/>
      <w:szCs w:val="22"/>
    </w:rPr>
  </w:style>
  <w:style w:type="paragraph" w:customStyle="1" w:styleId="111">
    <w:name w:val="列出段落2"/>
    <w:basedOn w:val="1"/>
    <w:pPr>
      <w:ind w:firstLine="420" w:firstLineChars="200"/>
    </w:pPr>
  </w:style>
  <w:style w:type="paragraph" w:customStyle="1" w:styleId="112">
    <w:name w:val="国标-正文"/>
    <w:basedOn w:val="1"/>
    <w:pPr>
      <w:autoSpaceDE w:val="0"/>
      <w:autoSpaceDN w:val="0"/>
      <w:adjustRightInd w:val="0"/>
      <w:spacing w:line="360" w:lineRule="auto"/>
      <w:jc w:val="left"/>
    </w:pPr>
    <w:rPr>
      <w:rFonts w:ascii="Times New Roman" w:hAnsi="Times New Roman" w:cs="Arial,Bold"/>
      <w:bCs/>
      <w:sz w:val="24"/>
      <w:szCs w:val="28"/>
    </w:rPr>
  </w:style>
  <w:style w:type="character" w:customStyle="1" w:styleId="113">
    <w:name w:val="page number"/>
    <w:rPr>
      <w:rFonts w:ascii="Times New Roman" w:hAnsi="Times New Roman" w:eastAsia="宋体"/>
      <w:sz w:val="18"/>
    </w:rPr>
  </w:style>
  <w:style w:type="character" w:customStyle="1" w:styleId="114">
    <w:name w:val="HTML Definition"/>
    <w:rPr>
      <w:i/>
      <w:iCs/>
    </w:rPr>
  </w:style>
  <w:style w:type="character" w:customStyle="1" w:styleId="115">
    <w:name w:val="HTML Typewriter"/>
    <w:rPr>
      <w:rFonts w:ascii="Courier New" w:hAnsi="Courier New"/>
      <w:sz w:val="20"/>
      <w:szCs w:val="20"/>
    </w:rPr>
  </w:style>
  <w:style w:type="character" w:customStyle="1" w:styleId="116">
    <w:name w:val="HTML Acronym"/>
    <w:basedOn w:val="18"/>
    <w:rPr/>
  </w:style>
  <w:style w:type="character" w:customStyle="1" w:styleId="117">
    <w:name w:val="HTML Variable"/>
    <w:rPr>
      <w:i/>
      <w:iCs/>
    </w:rPr>
  </w:style>
  <w:style w:type="character" w:customStyle="1" w:styleId="118">
    <w:name w:val="HTML Code"/>
    <w:rPr>
      <w:rFonts w:ascii="Courier New" w:hAnsi="Courier New"/>
      <w:sz w:val="20"/>
      <w:szCs w:val="20"/>
    </w:rPr>
  </w:style>
  <w:style w:type="character" w:customStyle="1" w:styleId="119">
    <w:name w:val="annotation reference"/>
    <w:rPr>
      <w:sz w:val="21"/>
      <w:szCs w:val="21"/>
    </w:rPr>
  </w:style>
  <w:style w:type="character" w:customStyle="1" w:styleId="120">
    <w:name w:val="HTML Cite"/>
    <w:rPr>
      <w:i/>
      <w:iCs/>
    </w:rPr>
  </w:style>
  <w:style w:type="character" w:customStyle="1" w:styleId="121">
    <w:name w:val="HTML Keyboard"/>
    <w:rPr>
      <w:rFonts w:ascii="Courier New" w:hAnsi="Courier New"/>
      <w:sz w:val="20"/>
      <w:szCs w:val="20"/>
    </w:rPr>
  </w:style>
  <w:style w:type="character" w:customStyle="1" w:styleId="122">
    <w:name w:val="HTML Sample"/>
    <w:rPr>
      <w:rFonts w:ascii="Courier New" w:hAnsi="Courier New"/>
    </w:rPr>
  </w:style>
  <w:style w:type="character" w:customStyle="1" w:styleId="123">
    <w:name w:val="发布"/>
    <w:rPr>
      <w:rFonts w:ascii="黑体" w:eastAsia="黑体"/>
      <w:spacing w:val="22"/>
      <w:w w:val="100"/>
      <w:position w:val="3"/>
      <w:sz w:val="28"/>
    </w:rPr>
  </w:style>
  <w:style w:type="character" w:customStyle="1" w:styleId="124">
    <w:name w:val="个人答复风格"/>
    <w:rPr>
      <w:rFonts w:ascii="Arial" w:hAnsi="Arial" w:eastAsia="宋体" w:cs="Arial"/>
      <w:color w:val="auto"/>
      <w:sz w:val="20"/>
    </w:rPr>
  </w:style>
  <w:style w:type="character" w:customStyle="1" w:styleId="125">
    <w:name w:val="个人撰写风格"/>
    <w:rPr>
      <w:rFonts w:ascii="Arial" w:hAnsi="Arial" w:eastAsia="宋体" w:cs="Arial"/>
      <w:color w:val="auto"/>
      <w:sz w:val="20"/>
    </w:rPr>
  </w:style>
  <w:style w:type="character" w:customStyle="1" w:styleId="126">
    <w:name w:val="mtitle1"/>
    <w:rPr>
      <w:rFonts w:hint="default" w:ascii="ˎ̥" w:hAnsi="ˎ̥"/>
      <w:color w:val="000000"/>
      <w:sz w:val="21"/>
      <w:szCs w:val="21"/>
    </w:rPr>
  </w:style>
  <w:style w:type="character" w:customStyle="1" w:styleId="127">
    <w:name w:val="段 Char Char"/>
    <w:link w:val="47"/>
    <w:semiHidden/>
    <w:rPr>
      <w:rFonts w:ascii="宋体"/>
      <w:sz w:val="21"/>
      <w:lang w:val="en-US" w:eastAsia="zh-CN" w:bidi="ar-SA"/>
    </w:rPr>
  </w:style>
  <w:style w:type="character" w:customStyle="1" w:styleId="128">
    <w:name w:val="goog_qs-tidbit-1"/>
    <w:basedOn w:val="18"/>
    <w:rPr/>
  </w:style>
  <w:style w:type="character" w:customStyle="1" w:styleId="129">
    <w:name w:val="goog_qs-tidbit goog_qs-tidbit-1"/>
    <w:basedOn w:val="18"/>
    <w:rPr/>
  </w:style>
  <w:style w:type="character" w:customStyle="1" w:styleId="130">
    <w:name w:val="marginbottom10px2"/>
    <w:basedOn w:val="18"/>
    <w:rPr/>
  </w:style>
  <w:style w:type="character" w:customStyle="1" w:styleId="131">
    <w:name w:val="youfu2"/>
    <w:basedOn w:val="18"/>
    <w:rPr/>
  </w:style>
  <w:style w:type="character" w:customStyle="1" w:styleId="132">
    <w:name w:val="zuofu"/>
    <w:basedOn w:val="18"/>
    <w:rPr/>
  </w:style>
  <w:style w:type="character" w:customStyle="1" w:styleId="133">
    <w:name w:val="txtleft"/>
    <w:basedOn w:val="18"/>
    <w:rPr/>
  </w:style>
  <w:style w:type="character" w:customStyle="1" w:styleId="134">
    <w:name w:val="txtright"/>
    <w:basedOn w:val="18"/>
    <w:rPr/>
  </w:style>
  <w:style w:type="character" w:customStyle="1" w:styleId="135">
    <w:name w:val="datespan"/>
    <w:basedOn w:val="18"/>
    <w:rPr>
      <w:color w:val="CCCCCC"/>
    </w:rPr>
  </w:style>
  <w:style w:type="character" w:customStyle="1" w:styleId="136">
    <w:name w:val="mid2"/>
    <w:basedOn w:val="18"/>
    <w:rPr/>
  </w:style>
  <w:style w:type="character" w:customStyle="1" w:styleId="137">
    <w:name w:val="sub_lx"/>
    <w:basedOn w:val="18"/>
    <w:rPr/>
  </w:style>
  <w:style w:type="character" w:customStyle="1" w:styleId="138">
    <w:name w:val="sub_bt"/>
    <w:basedOn w:val="18"/>
    <w:rPr/>
  </w:style>
  <w:style w:type="character" w:customStyle="1" w:styleId="139">
    <w:name w:val="del_marginbottom2"/>
    <w:basedOn w:val="18"/>
    <w:rPr/>
  </w:style>
  <w:style w:type="character" w:customStyle="1" w:styleId="140">
    <w:name w:val="red3"/>
    <w:basedOn w:val="18"/>
    <w:rPr>
      <w:b/>
      <w:color w:val="DA2F27"/>
      <w:sz w:val="14"/>
      <w:szCs w:val="14"/>
    </w:rPr>
  </w:style>
  <w:style w:type="character" w:customStyle="1" w:styleId="141">
    <w:name w:val="sub_sj"/>
    <w:basedOn w:val="18"/>
    <w:rPr/>
  </w:style>
  <w:style w:type="character" w:customStyle="1" w:styleId="142">
    <w:name w:val="sub_yd"/>
    <w:basedOn w:val="18"/>
    <w:rPr/>
  </w:style>
  <w:style w:type="character" w:customStyle="1" w:styleId="143">
    <w:name w:val="sub_cplistnr"/>
    <w:basedOn w:val="18"/>
    <w:rPr/>
  </w:style>
  <w:style w:type="character" w:customStyle="1" w:styleId="144">
    <w:name w:val="current2"/>
    <w:basedOn w:val="18"/>
    <w:rPr>
      <w:color w:val="FFFFFF"/>
      <w:shd w:val="clear" w:color="010000" w:fill="FF0000"/>
    </w:rPr>
  </w:style>
  <w:style w:type="character" w:customStyle="1" w:styleId="145">
    <w:name w:val="sub_nr"/>
    <w:basedOn w:val="18"/>
    <w:rPr/>
  </w:style>
  <w:style w:type="character" w:customStyle="1" w:styleId="146">
    <w:name w:val="remen_key"/>
    <w:basedOn w:val="18"/>
    <w:rPr/>
  </w:style>
  <w:style w:type="character" w:customStyle="1" w:styleId="147">
    <w:name w:val="mid"/>
    <w:basedOn w:val="18"/>
    <w:rPr/>
  </w:style>
  <w:style w:type="character" w:customStyle="1" w:styleId="148">
    <w:name w:val="zuofu2"/>
    <w:basedOn w:val="18"/>
    <w:rPr/>
  </w:style>
  <w:style w:type="character" w:customStyle="1" w:styleId="149">
    <w:name w:val="num1"/>
    <w:basedOn w:val="18"/>
    <w:rPr/>
  </w:style>
  <w:style w:type="character" w:customStyle="1" w:styleId="150">
    <w:name w:val="num11"/>
    <w:basedOn w:val="18"/>
    <w:rPr>
      <w:shd w:val="clear" w:color="000000" w:fill="FD0400"/>
    </w:rPr>
  </w:style>
  <w:style w:type="character" w:customStyle="1" w:styleId="151">
    <w:name w:val="num13"/>
    <w:basedOn w:val="18"/>
    <w:rPr/>
  </w:style>
  <w:style w:type="character" w:customStyle="1" w:styleId="152">
    <w:name w:val="sj2"/>
    <w:basedOn w:val="18"/>
    <w:rPr/>
  </w:style>
  <w:style w:type="character" w:customStyle="1" w:styleId="153">
    <w:name w:val="num12"/>
    <w:basedOn w:val="18"/>
    <w:rPr/>
  </w:style>
  <w:style w:type="character" w:customStyle="1" w:styleId="154">
    <w:name w:val="num8"/>
    <w:basedOn w:val="18"/>
    <w:rPr/>
  </w:style>
  <w:style w:type="character" w:customStyle="1" w:styleId="155">
    <w:name w:val="num2"/>
    <w:basedOn w:val="18"/>
    <w:rPr/>
  </w:style>
  <w:style w:type="character" w:customStyle="1" w:styleId="156">
    <w:name w:val="num21"/>
    <w:basedOn w:val="18"/>
    <w:rPr>
      <w:shd w:val="clear" w:color="000000" w:fill="FDC003"/>
    </w:rPr>
  </w:style>
  <w:style w:type="character" w:customStyle="1" w:styleId="157">
    <w:name w:val="num4"/>
    <w:basedOn w:val="18"/>
    <w:rPr/>
  </w:style>
  <w:style w:type="character" w:customStyle="1" w:styleId="158">
    <w:name w:val="num3"/>
    <w:basedOn w:val="18"/>
    <w:rPr/>
  </w:style>
  <w:style w:type="character" w:customStyle="1" w:styleId="159">
    <w:name w:val="num31"/>
    <w:basedOn w:val="18"/>
    <w:rPr>
      <w:shd w:val="clear" w:color="000000" w:fill="C5FE01"/>
    </w:rPr>
  </w:style>
  <w:style w:type="character" w:customStyle="1" w:styleId="160">
    <w:name w:val="num5"/>
    <w:basedOn w:val="18"/>
    <w:rPr/>
  </w:style>
  <w:style w:type="character" w:customStyle="1" w:styleId="161">
    <w:name w:val="num6"/>
    <w:basedOn w:val="18"/>
    <w:rPr/>
  </w:style>
  <w:style w:type="character" w:customStyle="1" w:styleId="162">
    <w:name w:val="num7"/>
    <w:basedOn w:val="18"/>
    <w:rPr/>
  </w:style>
  <w:style w:type="character" w:customStyle="1" w:styleId="163">
    <w:name w:val="num9"/>
    <w:basedOn w:val="18"/>
    <w:rPr/>
  </w:style>
  <w:style w:type="character" w:customStyle="1" w:styleId="164">
    <w:name w:val="num10"/>
    <w:basedOn w:val="18"/>
    <w:rPr/>
  </w:style>
  <w:style w:type="character" w:customStyle="1" w:styleId="165">
    <w:name w:val="num15"/>
    <w:basedOn w:val="18"/>
    <w:rPr/>
  </w:style>
  <w:style w:type="character" w:customStyle="1" w:styleId="166">
    <w:name w:val="num111"/>
    <w:basedOn w:val="18"/>
    <w:rPr/>
  </w:style>
  <w:style w:type="character" w:customStyle="1" w:styleId="167">
    <w:name w:val="num14"/>
    <w:basedOn w:val="18"/>
    <w:rPr/>
  </w:style>
  <w:style w:type="character" w:customStyle="1" w:styleId="168">
    <w:name w:val="dx"/>
    <w:basedOn w:val="18"/>
    <w:rPr/>
  </w:style>
  <w:style w:type="character" w:customStyle="1" w:styleId="169">
    <w:name w:val="dc"/>
    <w:basedOn w:val="18"/>
    <w:rPr>
      <w:b/>
      <w:color w:val="663300"/>
      <w:sz w:val="14"/>
      <w:szCs w:val="14"/>
    </w:rPr>
  </w:style>
  <w:style w:type="character" w:customStyle="1" w:styleId="170">
    <w:name w:val="red"/>
    <w:basedOn w:val="18"/>
    <w:rPr>
      <w:color w:val="E3060B"/>
    </w:rPr>
  </w:style>
  <w:style w:type="character" w:customStyle="1" w:styleId="171">
    <w:name w:val="gray"/>
    <w:basedOn w:val="18"/>
    <w:rPr>
      <w:color w:val="B5B5B5"/>
    </w:rPr>
  </w:style>
  <w:style w:type="character" w:customStyle="1" w:styleId="172">
    <w:name w:val="speed"/>
    <w:basedOn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customXml" Target="../customXml/item1.xml"/><Relationship Id="rId1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theme" Target="theme/theme1.xml"/><Relationship Id="rId8" Type="http://schemas.openxmlformats.org/officeDocument/2006/relationships/image" Target="media/image1.png"/><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中国标准研究中心</Company>
  <Pages>6</Pages>
  <Words>132</Words>
  <Characters>755</Characters>
  <Lines>6</Lines>
  <Paragraphs>1</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2018-06-07T16:29:00Z</dcterms:created>
  <dc:creator>USER</dc:creator>
  <cp:lastPrinted>2015-09-09T13:55:00Z</cp:lastPrinted>
  <dcterms:modified xsi:type="dcterms:W3CDTF">2019-06-06T11:20:37Z</dcterms:modified>
  <dc:title>Lenovo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